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A56784" w14:textId="248FB36D" w:rsidR="00EA0A90" w:rsidRPr="002B019A" w:rsidRDefault="00EA0A90" w:rsidP="00A67AF9">
      <w:pPr>
        <w:bidi w:val="0"/>
        <w:spacing w:line="276" w:lineRule="auto"/>
        <w:rPr>
          <w:b w:val="0"/>
          <w:bCs w:val="0"/>
          <w:noProof/>
          <w:szCs w:val="22"/>
        </w:rPr>
      </w:pPr>
      <w:bookmarkStart w:id="0" w:name="_GoBack"/>
      <w:bookmarkEnd w:id="0"/>
    </w:p>
    <w:p w14:paraId="3BA56785" w14:textId="051C50B0" w:rsidR="00685365" w:rsidRPr="008B4D4C" w:rsidRDefault="00685365" w:rsidP="00A67AF9">
      <w:pPr>
        <w:bidi w:val="0"/>
        <w:spacing w:before="120" w:line="276" w:lineRule="auto"/>
        <w:jc w:val="right"/>
        <w:rPr>
          <w:b w:val="0"/>
          <w:bCs w:val="0"/>
          <w:szCs w:val="22"/>
        </w:rPr>
      </w:pPr>
    </w:p>
    <w:sdt>
      <w:sdtPr>
        <w:rPr>
          <w:b w:val="0"/>
          <w:bCs w:val="0"/>
          <w:noProof/>
          <w:szCs w:val="22"/>
        </w:rPr>
        <w:alias w:val="תאריך יצירת מסמך"/>
        <w:tag w:val="תאריך יצירת מסמך"/>
        <w:id w:val="1954021204"/>
        <w:placeholder>
          <w:docPart w:val="D8ED30EB7DAE456F84756D61516B5997"/>
        </w:placeholder>
        <w:dataBinding w:prefixMappings="xmlns:ns0='http://schemas.microsoft.com/office/2006/metadata/properties' xmlns:ns1='http://www.w3.org/2001/XMLSchema-instance' xmlns:ns2='8f5b83e0-a1d3-486c-bd07-833a425c74af' xmlns:ns3='87b98568-e8c7-4058-bf31-e11803adaf85' " w:xpath="/ns0:properties[1]/documentManagement[1]/ns2:DocumentCreateDate[1]" w:storeItemID="{0128DAA8-C350-4878-A4D9-2589077B70B6}"/>
        <w:date w:fullDate="2018-05-07T00:00:00Z">
          <w:dateFormat w:val="d MMMM yyyy"/>
          <w:lid w:val="en-US"/>
          <w:storeMappedDataAs w:val="dateTime"/>
          <w:calendar w:val="gregorian"/>
        </w:date>
      </w:sdtPr>
      <w:sdtEndPr/>
      <w:sdtContent>
        <w:p w14:paraId="683D2638" w14:textId="10353883" w:rsidR="000B39C3" w:rsidRDefault="00A67AF9" w:rsidP="00A67AF9">
          <w:pPr>
            <w:bidi w:val="0"/>
            <w:spacing w:line="276" w:lineRule="auto"/>
          </w:pPr>
          <w:r>
            <w:rPr>
              <w:b w:val="0"/>
              <w:bCs w:val="0"/>
              <w:noProof/>
              <w:szCs w:val="22"/>
            </w:rPr>
            <w:t>7 May 2018</w:t>
          </w:r>
        </w:p>
      </w:sdtContent>
    </w:sdt>
    <w:p w14:paraId="3BA56786" w14:textId="77777777" w:rsidR="008E3BBC" w:rsidRDefault="008E3BBC" w:rsidP="00A67AF9">
      <w:pPr>
        <w:bidi w:val="0"/>
        <w:spacing w:line="276" w:lineRule="auto"/>
        <w:rPr>
          <w:b w:val="0"/>
          <w:bCs w:val="0"/>
          <w:szCs w:val="22"/>
        </w:rPr>
      </w:pPr>
    </w:p>
    <w:p w14:paraId="3BA56789" w14:textId="77777777" w:rsidR="007C491A" w:rsidRDefault="007C491A" w:rsidP="00A67AF9">
      <w:pPr>
        <w:bidi w:val="0"/>
        <w:spacing w:line="276" w:lineRule="auto"/>
        <w:jc w:val="right"/>
        <w:rPr>
          <w:b w:val="0"/>
          <w:bCs w:val="0"/>
          <w:szCs w:val="22"/>
        </w:rPr>
      </w:pPr>
    </w:p>
    <w:p w14:paraId="6E067DE7" w14:textId="77777777" w:rsidR="00A67AF9" w:rsidRPr="00EF53DD" w:rsidRDefault="00A67AF9" w:rsidP="00A67AF9">
      <w:pPr>
        <w:bidi w:val="0"/>
        <w:spacing w:line="276" w:lineRule="auto"/>
        <w:jc w:val="center"/>
        <w:rPr>
          <w:rFonts w:cstheme="minorHAnsi"/>
          <w:b w:val="0"/>
          <w:bCs w:val="0"/>
          <w:sz w:val="28"/>
          <w:szCs w:val="28"/>
          <w:u w:val="single"/>
        </w:rPr>
      </w:pPr>
      <w:r w:rsidRPr="00EF53DD">
        <w:rPr>
          <w:rFonts w:cstheme="minorHAnsi"/>
          <w:sz w:val="28"/>
          <w:szCs w:val="28"/>
          <w:u w:val="single"/>
        </w:rPr>
        <w:t>Q&amp;A Consulting on Oil and Gas Policy and Regulation in Israel (Tender No. 37/18)</w:t>
      </w:r>
    </w:p>
    <w:p w14:paraId="0A18FB23" w14:textId="77777777" w:rsidR="00A67AF9" w:rsidRPr="00C5166C" w:rsidRDefault="00A67AF9" w:rsidP="00A67AF9">
      <w:pPr>
        <w:bidi w:val="0"/>
        <w:spacing w:line="276" w:lineRule="auto"/>
        <w:jc w:val="both"/>
        <w:rPr>
          <w:rFonts w:cstheme="minorHAnsi"/>
          <w:szCs w:val="22"/>
          <w:rtl/>
        </w:rPr>
      </w:pPr>
    </w:p>
    <w:tbl>
      <w:tblPr>
        <w:tblStyle w:val="ab"/>
        <w:tblW w:w="0" w:type="auto"/>
        <w:tblLayout w:type="fixed"/>
        <w:tblLook w:val="04A0" w:firstRow="1" w:lastRow="0" w:firstColumn="1" w:lastColumn="0" w:noHBand="0" w:noVBand="1"/>
      </w:tblPr>
      <w:tblGrid>
        <w:gridCol w:w="562"/>
        <w:gridCol w:w="4678"/>
        <w:gridCol w:w="1559"/>
        <w:gridCol w:w="4962"/>
      </w:tblGrid>
      <w:tr w:rsidR="00A67AF9" w:rsidRPr="00C5166C" w14:paraId="71182AD2" w14:textId="77777777" w:rsidTr="00935F3D">
        <w:tc>
          <w:tcPr>
            <w:tcW w:w="562" w:type="dxa"/>
          </w:tcPr>
          <w:p w14:paraId="7B6716B3" w14:textId="77777777" w:rsidR="00A67AF9" w:rsidRPr="00C5166C" w:rsidRDefault="00A67AF9" w:rsidP="00A67AF9">
            <w:pPr>
              <w:bidi w:val="0"/>
              <w:spacing w:line="276" w:lineRule="auto"/>
              <w:jc w:val="both"/>
              <w:rPr>
                <w:rFonts w:cstheme="minorHAnsi"/>
                <w:b/>
                <w:bCs/>
                <w:color w:val="000000" w:themeColor="text1"/>
                <w:szCs w:val="22"/>
                <w:u w:val="single"/>
              </w:rPr>
            </w:pPr>
            <w:r w:rsidRPr="00C5166C">
              <w:rPr>
                <w:rFonts w:cstheme="minorHAnsi"/>
                <w:b/>
                <w:bCs/>
                <w:color w:val="000000" w:themeColor="text1"/>
                <w:szCs w:val="22"/>
                <w:u w:val="single"/>
              </w:rPr>
              <w:t>No.</w:t>
            </w:r>
          </w:p>
        </w:tc>
        <w:tc>
          <w:tcPr>
            <w:tcW w:w="4678" w:type="dxa"/>
          </w:tcPr>
          <w:p w14:paraId="3CDEB894" w14:textId="77777777" w:rsidR="00A67AF9" w:rsidRPr="00C5166C" w:rsidRDefault="00A67AF9" w:rsidP="00A67AF9">
            <w:pPr>
              <w:bidi w:val="0"/>
              <w:spacing w:line="276" w:lineRule="auto"/>
              <w:jc w:val="both"/>
              <w:rPr>
                <w:rFonts w:cstheme="minorHAnsi"/>
                <w:b/>
                <w:bCs/>
                <w:szCs w:val="22"/>
                <w:u w:val="single"/>
              </w:rPr>
            </w:pPr>
            <w:r w:rsidRPr="00C5166C">
              <w:rPr>
                <w:rFonts w:cstheme="minorHAnsi"/>
                <w:b/>
                <w:bCs/>
                <w:color w:val="000000" w:themeColor="text1"/>
                <w:szCs w:val="22"/>
                <w:u w:val="single"/>
              </w:rPr>
              <w:t>Section in the Tender/Specification</w:t>
            </w:r>
          </w:p>
        </w:tc>
        <w:tc>
          <w:tcPr>
            <w:tcW w:w="1559" w:type="dxa"/>
          </w:tcPr>
          <w:p w14:paraId="475BE0CE" w14:textId="77777777" w:rsidR="00A67AF9" w:rsidRPr="00C5166C" w:rsidRDefault="00A67AF9" w:rsidP="00A67AF9">
            <w:pPr>
              <w:bidi w:val="0"/>
              <w:spacing w:line="276" w:lineRule="auto"/>
              <w:jc w:val="both"/>
              <w:rPr>
                <w:rFonts w:cstheme="minorHAnsi"/>
                <w:b/>
                <w:bCs/>
                <w:szCs w:val="22"/>
                <w:u w:val="single"/>
              </w:rPr>
            </w:pPr>
            <w:r w:rsidRPr="00C5166C">
              <w:rPr>
                <w:rFonts w:cstheme="minorHAnsi"/>
                <w:b/>
                <w:bCs/>
                <w:color w:val="000000" w:themeColor="text1"/>
                <w:szCs w:val="22"/>
                <w:u w:val="single"/>
              </w:rPr>
              <w:t>question / clarification</w:t>
            </w:r>
          </w:p>
        </w:tc>
        <w:tc>
          <w:tcPr>
            <w:tcW w:w="4962" w:type="dxa"/>
          </w:tcPr>
          <w:p w14:paraId="2ACC0CEA" w14:textId="77777777" w:rsidR="00A67AF9" w:rsidRPr="00C5166C" w:rsidRDefault="00A67AF9" w:rsidP="00A67AF9">
            <w:pPr>
              <w:bidi w:val="0"/>
              <w:spacing w:line="276" w:lineRule="auto"/>
              <w:jc w:val="both"/>
              <w:rPr>
                <w:rFonts w:cstheme="minorHAnsi"/>
                <w:b/>
                <w:bCs/>
                <w:szCs w:val="22"/>
                <w:u w:val="single"/>
              </w:rPr>
            </w:pPr>
            <w:r w:rsidRPr="00C5166C">
              <w:rPr>
                <w:rFonts w:cstheme="minorHAnsi"/>
                <w:b/>
                <w:bCs/>
                <w:color w:val="000000" w:themeColor="text1"/>
                <w:szCs w:val="22"/>
                <w:u w:val="single"/>
              </w:rPr>
              <w:t>Answer</w:t>
            </w:r>
          </w:p>
        </w:tc>
      </w:tr>
      <w:tr w:rsidR="00A67AF9" w:rsidRPr="00C5166C" w14:paraId="6D000AD4" w14:textId="77777777" w:rsidTr="00935F3D">
        <w:tc>
          <w:tcPr>
            <w:tcW w:w="562" w:type="dxa"/>
          </w:tcPr>
          <w:p w14:paraId="472FB4DF" w14:textId="77777777" w:rsidR="00A67AF9" w:rsidRPr="00C5166C" w:rsidRDefault="00A67AF9" w:rsidP="00A67AF9">
            <w:pPr>
              <w:bidi w:val="0"/>
              <w:spacing w:line="276" w:lineRule="auto"/>
              <w:jc w:val="both"/>
              <w:rPr>
                <w:rFonts w:cstheme="minorHAnsi"/>
                <w:szCs w:val="22"/>
              </w:rPr>
            </w:pPr>
            <w:r w:rsidRPr="00C5166C">
              <w:rPr>
                <w:rFonts w:cstheme="minorHAnsi"/>
                <w:szCs w:val="22"/>
              </w:rPr>
              <w:t>1</w:t>
            </w:r>
          </w:p>
        </w:tc>
        <w:tc>
          <w:tcPr>
            <w:tcW w:w="4678" w:type="dxa"/>
          </w:tcPr>
          <w:p w14:paraId="0C3AAF26" w14:textId="77777777" w:rsidR="00A67AF9" w:rsidRPr="00C5166C" w:rsidRDefault="00A67AF9" w:rsidP="00A67AF9">
            <w:pPr>
              <w:tabs>
                <w:tab w:val="left" w:pos="8617"/>
              </w:tabs>
              <w:bidi w:val="0"/>
              <w:spacing w:line="276" w:lineRule="auto"/>
              <w:jc w:val="both"/>
              <w:rPr>
                <w:rFonts w:cstheme="minorHAnsi"/>
                <w:color w:val="000000" w:themeColor="text1"/>
                <w:szCs w:val="22"/>
                <w:rtl/>
              </w:rPr>
            </w:pPr>
            <w:r w:rsidRPr="00C5166C">
              <w:rPr>
                <w:rFonts w:cstheme="minorHAnsi"/>
                <w:color w:val="000000"/>
                <w:szCs w:val="22"/>
                <w:lang w:val="en-GB"/>
              </w:rPr>
              <w:t>The hourly Price Quote cap and fixed costs for travel to Israel are low. In addition, we have more gradations in our consulting structure than just Consultant, Project Manager, and Business Analyst. Can we propose fixed costs for travel and a price quote that reflects the full range of our consulting levels, including those that exceed the Price Quote cap?</w:t>
            </w:r>
          </w:p>
        </w:tc>
        <w:tc>
          <w:tcPr>
            <w:tcW w:w="1559" w:type="dxa"/>
          </w:tcPr>
          <w:p w14:paraId="425DFA01"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t xml:space="preserve">S. 4.f. </w:t>
            </w:r>
          </w:p>
          <w:p w14:paraId="2A4CD0DB" w14:textId="77777777" w:rsidR="00A67AF9" w:rsidRPr="00C5166C" w:rsidRDefault="00A67AF9" w:rsidP="00A67AF9">
            <w:pPr>
              <w:tabs>
                <w:tab w:val="left" w:pos="8617"/>
              </w:tabs>
              <w:bidi w:val="0"/>
              <w:spacing w:line="276" w:lineRule="auto"/>
              <w:jc w:val="both"/>
              <w:rPr>
                <w:rFonts w:cstheme="minorHAnsi"/>
                <w:color w:val="000000" w:themeColor="text1"/>
                <w:szCs w:val="22"/>
                <w:rtl/>
              </w:rPr>
            </w:pPr>
            <w:r w:rsidRPr="00C5166C">
              <w:rPr>
                <w:rFonts w:cstheme="minorHAnsi"/>
                <w:color w:val="000000" w:themeColor="text1"/>
                <w:szCs w:val="22"/>
              </w:rPr>
              <w:t xml:space="preserve">S. 4.g. </w:t>
            </w:r>
          </w:p>
        </w:tc>
        <w:tc>
          <w:tcPr>
            <w:tcW w:w="4962" w:type="dxa"/>
          </w:tcPr>
          <w:p w14:paraId="5FF528E4"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Travel costs are fixed which were initially calculated according to bids of other international engagements of the Ministry, where travel costs were open for bidding. </w:t>
            </w:r>
          </w:p>
          <w:p w14:paraId="5B2E89AB" w14:textId="77777777" w:rsidR="00A67AF9" w:rsidRPr="00C5166C" w:rsidRDefault="00A67AF9" w:rsidP="00A67AF9">
            <w:pPr>
              <w:bidi w:val="0"/>
              <w:spacing w:line="276" w:lineRule="auto"/>
              <w:jc w:val="both"/>
              <w:rPr>
                <w:rFonts w:cstheme="minorHAnsi"/>
                <w:szCs w:val="22"/>
              </w:rPr>
            </w:pPr>
            <w:r w:rsidRPr="00C5166C">
              <w:rPr>
                <w:rFonts w:cstheme="minorHAnsi"/>
                <w:szCs w:val="22"/>
              </w:rPr>
              <w:t>You should pay attention that the travel costs do not include consideration for working hours during the visit, and no less than 16 WH for a visit, for which the Bidder will be paid (in addition to the fixed travel cost) according to the Bidder's Price Quote and type of team member.</w:t>
            </w:r>
          </w:p>
          <w:p w14:paraId="236452F8"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No proposes for travel costs or Price Quotes other than the Expert Price Quote will be accepted. The </w:t>
            </w:r>
            <w:r w:rsidRPr="00C5166C">
              <w:rPr>
                <w:rFonts w:cstheme="minorHAnsi"/>
                <w:szCs w:val="22"/>
              </w:rPr>
              <w:lastRenderedPageBreak/>
              <w:t xml:space="preserve">Price Quote for 1 WH of an Expert will not exceed 400 USD. A Price Quote that does not meet this condition will be disqualified. </w:t>
            </w:r>
          </w:p>
          <w:p w14:paraId="5ACFB282" w14:textId="77777777" w:rsidR="00A67AF9" w:rsidRPr="00C5166C" w:rsidRDefault="00A67AF9" w:rsidP="00A67AF9">
            <w:pPr>
              <w:bidi w:val="0"/>
              <w:spacing w:line="276" w:lineRule="auto"/>
              <w:jc w:val="both"/>
              <w:rPr>
                <w:rFonts w:cstheme="minorHAnsi"/>
                <w:szCs w:val="22"/>
              </w:rPr>
            </w:pPr>
          </w:p>
        </w:tc>
      </w:tr>
      <w:tr w:rsidR="00A67AF9" w:rsidRPr="00C5166C" w14:paraId="5E3CEC42" w14:textId="77777777" w:rsidTr="00935F3D">
        <w:tc>
          <w:tcPr>
            <w:tcW w:w="562" w:type="dxa"/>
          </w:tcPr>
          <w:p w14:paraId="35AC4C8B" w14:textId="77777777" w:rsidR="00A67AF9" w:rsidRPr="00C5166C" w:rsidRDefault="00A67AF9" w:rsidP="00A67AF9">
            <w:pPr>
              <w:bidi w:val="0"/>
              <w:spacing w:line="276" w:lineRule="auto"/>
              <w:jc w:val="both"/>
              <w:rPr>
                <w:rFonts w:cstheme="minorHAnsi"/>
                <w:szCs w:val="22"/>
              </w:rPr>
            </w:pPr>
            <w:r w:rsidRPr="00C5166C">
              <w:rPr>
                <w:rFonts w:cstheme="minorHAnsi"/>
                <w:szCs w:val="22"/>
              </w:rPr>
              <w:lastRenderedPageBreak/>
              <w:t>2</w:t>
            </w:r>
          </w:p>
        </w:tc>
        <w:tc>
          <w:tcPr>
            <w:tcW w:w="4678" w:type="dxa"/>
          </w:tcPr>
          <w:p w14:paraId="2E014F22" w14:textId="77777777" w:rsidR="00A67AF9" w:rsidRPr="00C5166C" w:rsidRDefault="00A67AF9" w:rsidP="00A67AF9">
            <w:pPr>
              <w:tabs>
                <w:tab w:val="left" w:pos="8617"/>
              </w:tabs>
              <w:bidi w:val="0"/>
              <w:spacing w:line="276" w:lineRule="auto"/>
              <w:jc w:val="both"/>
              <w:rPr>
                <w:rFonts w:cstheme="minorHAnsi"/>
                <w:color w:val="000000"/>
                <w:szCs w:val="22"/>
                <w:lang w:val="en-GB"/>
              </w:rPr>
            </w:pPr>
            <w:r w:rsidRPr="00C5166C">
              <w:rPr>
                <w:rFonts w:cstheme="minorHAnsi"/>
                <w:color w:val="000000"/>
                <w:szCs w:val="22"/>
                <w:lang w:val="en-GB"/>
              </w:rPr>
              <w:t>The allowed fees for Israeli experts as indicated by the Accountant General are not sufficient to enable us to deploy qualified Israeli staff, who also work on projects for us worldwide. Can we charge our standard rates for these consultants even though they are Israeli?</w:t>
            </w:r>
          </w:p>
        </w:tc>
        <w:tc>
          <w:tcPr>
            <w:tcW w:w="1559" w:type="dxa"/>
          </w:tcPr>
          <w:p w14:paraId="03458EA4" w14:textId="77777777" w:rsidR="00A67AF9" w:rsidRPr="00C5166C" w:rsidRDefault="00A67AF9" w:rsidP="00A67AF9">
            <w:pPr>
              <w:tabs>
                <w:tab w:val="left" w:pos="8617"/>
              </w:tabs>
              <w:bidi w:val="0"/>
              <w:spacing w:line="276" w:lineRule="auto"/>
              <w:jc w:val="both"/>
              <w:rPr>
                <w:rFonts w:cstheme="minorHAnsi"/>
                <w:color w:val="000000" w:themeColor="text1"/>
                <w:szCs w:val="22"/>
                <w:rtl/>
              </w:rPr>
            </w:pPr>
            <w:r w:rsidRPr="00C5166C">
              <w:rPr>
                <w:rFonts w:cstheme="minorHAnsi"/>
                <w:color w:val="000000" w:themeColor="text1"/>
                <w:szCs w:val="22"/>
              </w:rPr>
              <w:t xml:space="preserve">S. 4.e. </w:t>
            </w:r>
          </w:p>
        </w:tc>
        <w:tc>
          <w:tcPr>
            <w:tcW w:w="4962" w:type="dxa"/>
          </w:tcPr>
          <w:p w14:paraId="1E7DE167" w14:textId="77777777" w:rsidR="00A67AF9" w:rsidRPr="00C5166C" w:rsidRDefault="00A67AF9" w:rsidP="00A67AF9">
            <w:pPr>
              <w:bidi w:val="0"/>
              <w:spacing w:line="276" w:lineRule="auto"/>
              <w:jc w:val="both"/>
              <w:rPr>
                <w:rFonts w:cstheme="minorHAnsi"/>
                <w:szCs w:val="22"/>
              </w:rPr>
            </w:pPr>
            <w:r w:rsidRPr="00C5166C">
              <w:rPr>
                <w:rFonts w:cstheme="minorHAnsi"/>
                <w:szCs w:val="22"/>
              </w:rPr>
              <w:t>Unfortunately, there is no possibility to deviate from the allowed fees for Israeli experts as indicated by the Accountant General.</w:t>
            </w:r>
          </w:p>
        </w:tc>
      </w:tr>
      <w:tr w:rsidR="00A67AF9" w:rsidRPr="00C5166C" w14:paraId="4AAA0B5F" w14:textId="77777777" w:rsidTr="00935F3D">
        <w:tc>
          <w:tcPr>
            <w:tcW w:w="562" w:type="dxa"/>
          </w:tcPr>
          <w:p w14:paraId="62408787" w14:textId="77777777" w:rsidR="00A67AF9" w:rsidRPr="00C5166C" w:rsidRDefault="00A67AF9" w:rsidP="00A67AF9">
            <w:pPr>
              <w:bidi w:val="0"/>
              <w:spacing w:line="276" w:lineRule="auto"/>
              <w:jc w:val="both"/>
              <w:rPr>
                <w:rFonts w:cstheme="minorHAnsi"/>
                <w:szCs w:val="22"/>
              </w:rPr>
            </w:pPr>
            <w:r w:rsidRPr="00C5166C">
              <w:rPr>
                <w:rFonts w:cstheme="minorHAnsi"/>
                <w:szCs w:val="22"/>
              </w:rPr>
              <w:t>3</w:t>
            </w:r>
          </w:p>
        </w:tc>
        <w:tc>
          <w:tcPr>
            <w:tcW w:w="4678" w:type="dxa"/>
          </w:tcPr>
          <w:p w14:paraId="609C20EE" w14:textId="77777777" w:rsidR="00A67AF9" w:rsidRPr="00C5166C" w:rsidRDefault="00A67AF9" w:rsidP="00A67AF9">
            <w:pPr>
              <w:tabs>
                <w:tab w:val="left" w:pos="8617"/>
              </w:tabs>
              <w:bidi w:val="0"/>
              <w:spacing w:line="276" w:lineRule="auto"/>
              <w:jc w:val="both"/>
              <w:rPr>
                <w:rFonts w:cstheme="minorHAnsi"/>
                <w:color w:val="000000"/>
                <w:szCs w:val="22"/>
                <w:lang w:val="en-GB"/>
              </w:rPr>
            </w:pPr>
            <w:r w:rsidRPr="00C5166C">
              <w:rPr>
                <w:rFonts w:cstheme="minorHAnsi"/>
                <w:color w:val="000000"/>
                <w:szCs w:val="22"/>
                <w:lang w:val="en-GB"/>
              </w:rPr>
              <w:t>The contract requires travel within five business days. Since our consultants are deployed on a number of projects worldwide, we are unable to commit to always having the appropriate staff available to travel on this notice. Can we also propose that travel can take place at a “mutually agreed time, with best efforts to travel within five business days?</w:t>
            </w:r>
          </w:p>
        </w:tc>
        <w:tc>
          <w:tcPr>
            <w:tcW w:w="1559" w:type="dxa"/>
          </w:tcPr>
          <w:p w14:paraId="60A830F6"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t xml:space="preserve">S. 4.g. </w:t>
            </w:r>
          </w:p>
        </w:tc>
        <w:tc>
          <w:tcPr>
            <w:tcW w:w="4962" w:type="dxa"/>
          </w:tcPr>
          <w:p w14:paraId="2F6B39CA"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In accordance with your inquiry, we have updated the requirement in S. 4.g. and the current requirement regarding travel availability is: </w:t>
            </w:r>
          </w:p>
          <w:p w14:paraId="3F94CDDA" w14:textId="77777777" w:rsidR="00A67AF9" w:rsidRPr="00C5166C" w:rsidRDefault="00A67AF9" w:rsidP="00A67AF9">
            <w:pPr>
              <w:bidi w:val="0"/>
              <w:spacing w:line="276" w:lineRule="auto"/>
              <w:jc w:val="both"/>
              <w:rPr>
                <w:rFonts w:cstheme="minorHAnsi"/>
                <w:szCs w:val="22"/>
              </w:rPr>
            </w:pPr>
            <w:r w:rsidRPr="00C5166C">
              <w:rPr>
                <w:rFonts w:cstheme="minorHAnsi"/>
                <w:i/>
                <w:iCs/>
                <w:color w:val="000000" w:themeColor="text1"/>
                <w:szCs w:val="22"/>
                <w:u w:val="single"/>
              </w:rPr>
              <w:t>Traveling to Israel</w:t>
            </w:r>
            <w:r w:rsidRPr="00C5166C">
              <w:rPr>
                <w:rFonts w:cstheme="minorHAnsi"/>
                <w:i/>
                <w:iCs/>
                <w:color w:val="000000" w:themeColor="text1"/>
                <w:szCs w:val="22"/>
                <w:u w:val="single"/>
              </w:rPr>
              <w:softHyphen/>
            </w:r>
            <w:r w:rsidRPr="00C5166C">
              <w:rPr>
                <w:rFonts w:cstheme="minorHAnsi"/>
                <w:i/>
                <w:iCs/>
                <w:color w:val="000000" w:themeColor="text1"/>
                <w:szCs w:val="22"/>
              </w:rPr>
              <w:t>- the nature of Services may include traveling to Israel, and winning Bidder, and each one of its designated team members should be able to travel to Israel within 5 business days’ from the Ministry Representative’s request</w:t>
            </w:r>
            <w:r w:rsidRPr="00C5166C">
              <w:rPr>
                <w:rFonts w:cstheme="minorHAnsi"/>
                <w:i/>
                <w:iCs/>
                <w:color w:val="FF0000"/>
                <w:szCs w:val="22"/>
              </w:rPr>
              <w:t>, or, under special circumstances, within a different time frame mutually agreed between the Ministry and the winning Bidder</w:t>
            </w:r>
            <w:r w:rsidRPr="00C5166C">
              <w:rPr>
                <w:rFonts w:cstheme="minorHAnsi"/>
                <w:szCs w:val="22"/>
              </w:rPr>
              <w:t xml:space="preserve">. </w:t>
            </w:r>
          </w:p>
        </w:tc>
      </w:tr>
      <w:tr w:rsidR="00A67AF9" w:rsidRPr="00C5166C" w14:paraId="0BC9AE94" w14:textId="77777777" w:rsidTr="00935F3D">
        <w:tc>
          <w:tcPr>
            <w:tcW w:w="562" w:type="dxa"/>
          </w:tcPr>
          <w:p w14:paraId="788319EB" w14:textId="77777777" w:rsidR="00A67AF9" w:rsidRPr="00C5166C" w:rsidRDefault="00A67AF9" w:rsidP="00A67AF9">
            <w:pPr>
              <w:bidi w:val="0"/>
              <w:spacing w:line="276" w:lineRule="auto"/>
              <w:jc w:val="both"/>
              <w:rPr>
                <w:rFonts w:cstheme="minorHAnsi"/>
                <w:szCs w:val="22"/>
              </w:rPr>
            </w:pPr>
            <w:r w:rsidRPr="00C5166C">
              <w:rPr>
                <w:rFonts w:cstheme="minorHAnsi"/>
                <w:szCs w:val="22"/>
              </w:rPr>
              <w:t>4</w:t>
            </w:r>
          </w:p>
        </w:tc>
        <w:tc>
          <w:tcPr>
            <w:tcW w:w="4678" w:type="dxa"/>
          </w:tcPr>
          <w:p w14:paraId="5886477A"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val="en-GB" w:eastAsia="ru-RU"/>
              </w:rPr>
            </w:pPr>
            <w:r w:rsidRPr="00C5166C">
              <w:rPr>
                <w:rFonts w:eastAsia="Times New Roman" w:cstheme="minorHAnsi"/>
                <w:color w:val="000000"/>
                <w:szCs w:val="22"/>
                <w:lang w:val="en-GB" w:eastAsia="ru-RU"/>
              </w:rPr>
              <w:t>No payment for the travel time. It is a common practice that travel time to-from clients’ office especially of the international consultant are reimbursed. Can this requirement be reconsidered?</w:t>
            </w:r>
          </w:p>
        </w:tc>
        <w:tc>
          <w:tcPr>
            <w:tcW w:w="1559" w:type="dxa"/>
          </w:tcPr>
          <w:p w14:paraId="3270FDF2"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t xml:space="preserve">S. 4.f. </w:t>
            </w:r>
          </w:p>
        </w:tc>
        <w:tc>
          <w:tcPr>
            <w:tcW w:w="4962" w:type="dxa"/>
          </w:tcPr>
          <w:p w14:paraId="33CAF299"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The fix travel cost was calculated to reflect, to a certain degree, the time spent by the consultant to-from clients’ office. Please see the answer to question 1 above. </w:t>
            </w:r>
          </w:p>
        </w:tc>
      </w:tr>
      <w:tr w:rsidR="00A67AF9" w:rsidRPr="00C5166C" w14:paraId="70652CF6" w14:textId="77777777" w:rsidTr="00935F3D">
        <w:tc>
          <w:tcPr>
            <w:tcW w:w="562" w:type="dxa"/>
          </w:tcPr>
          <w:p w14:paraId="533B12D2" w14:textId="77777777" w:rsidR="00A67AF9" w:rsidRPr="00C5166C" w:rsidRDefault="00A67AF9" w:rsidP="00A67AF9">
            <w:pPr>
              <w:bidi w:val="0"/>
              <w:spacing w:line="276" w:lineRule="auto"/>
              <w:jc w:val="both"/>
              <w:rPr>
                <w:rFonts w:cstheme="minorHAnsi"/>
                <w:szCs w:val="22"/>
              </w:rPr>
            </w:pPr>
            <w:r w:rsidRPr="00C5166C">
              <w:rPr>
                <w:rFonts w:cstheme="minorHAnsi"/>
                <w:szCs w:val="22"/>
              </w:rPr>
              <w:t>5</w:t>
            </w:r>
          </w:p>
        </w:tc>
        <w:tc>
          <w:tcPr>
            <w:tcW w:w="4678" w:type="dxa"/>
          </w:tcPr>
          <w:p w14:paraId="1C4DDED4"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val="en-GB" w:eastAsia="ru-RU"/>
              </w:rPr>
            </w:pPr>
            <w:r w:rsidRPr="00C5166C">
              <w:rPr>
                <w:rFonts w:eastAsia="Times New Roman" w:cstheme="minorHAnsi"/>
                <w:noProof/>
                <w:color w:val="000000"/>
                <w:szCs w:val="22"/>
                <w:lang w:val="en-GB" w:eastAsia="ru-RU"/>
              </w:rPr>
              <w:t>The contradiction</w:t>
            </w:r>
            <w:r w:rsidRPr="00C5166C">
              <w:rPr>
                <w:rFonts w:eastAsia="Times New Roman" w:cstheme="minorHAnsi"/>
                <w:color w:val="000000"/>
                <w:szCs w:val="22"/>
                <w:lang w:val="en-GB" w:eastAsia="ru-RU"/>
              </w:rPr>
              <w:t xml:space="preserve"> between the following statements:</w:t>
            </w:r>
          </w:p>
          <w:p w14:paraId="726A2B00"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val="en-GB" w:eastAsia="ru-RU"/>
              </w:rPr>
            </w:pPr>
            <w:r w:rsidRPr="00C5166C">
              <w:rPr>
                <w:rFonts w:eastAsia="Times New Roman" w:cstheme="minorHAnsi"/>
                <w:color w:val="000000"/>
                <w:szCs w:val="22"/>
                <w:lang w:val="en-GB" w:eastAsia="ru-RU"/>
              </w:rPr>
              <w:lastRenderedPageBreak/>
              <w:t>If the Ministry agrees with the proposal, it will issue an approval in writing.</w:t>
            </w:r>
          </w:p>
          <w:p w14:paraId="6E00A3D8"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eastAsia="ru-RU"/>
              </w:rPr>
            </w:pPr>
            <w:r w:rsidRPr="00C5166C">
              <w:rPr>
                <w:rFonts w:eastAsia="Times New Roman" w:cstheme="minorHAnsi"/>
                <w:color w:val="000000"/>
                <w:szCs w:val="22"/>
                <w:lang w:val="en-GB" w:eastAsia="ru-RU"/>
              </w:rPr>
              <w:t xml:space="preserve">However, next paragraph </w:t>
            </w:r>
            <w:r w:rsidRPr="00C5166C">
              <w:rPr>
                <w:rFonts w:eastAsia="Times New Roman" w:cstheme="minorHAnsi"/>
                <w:noProof/>
                <w:color w:val="000000"/>
                <w:szCs w:val="22"/>
                <w:lang w:val="en-GB" w:eastAsia="ru-RU"/>
              </w:rPr>
              <w:t>states:</w:t>
            </w:r>
            <w:r w:rsidRPr="00C5166C">
              <w:rPr>
                <w:rFonts w:eastAsia="Times New Roman" w:cstheme="minorHAnsi"/>
                <w:color w:val="000000"/>
                <w:szCs w:val="22"/>
                <w:lang w:val="en-GB" w:eastAsia="ru-RU"/>
              </w:rPr>
              <w:t xml:space="preserve"> </w:t>
            </w:r>
          </w:p>
          <w:p w14:paraId="299A979F"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val="en-GB" w:eastAsia="ru-RU"/>
              </w:rPr>
            </w:pPr>
            <w:r w:rsidRPr="00C5166C">
              <w:rPr>
                <w:rFonts w:eastAsia="Times New Roman" w:cstheme="minorHAnsi"/>
                <w:color w:val="000000"/>
                <w:szCs w:val="22"/>
                <w:lang w:val="en-GB" w:eastAsia="ru-RU"/>
              </w:rPr>
              <w:t xml:space="preserve">The Ministry’s approval of the scope of working hours detailed in the project plan does not in any way constitute any commitment by the Ministry to secure services from any of the team members for any </w:t>
            </w:r>
            <w:r w:rsidRPr="00C5166C">
              <w:rPr>
                <w:rFonts w:eastAsia="Times New Roman" w:cstheme="minorHAnsi"/>
                <w:noProof/>
                <w:color w:val="000000"/>
                <w:szCs w:val="22"/>
                <w:lang w:val="en-GB" w:eastAsia="ru-RU"/>
              </w:rPr>
              <w:t>minimal</w:t>
            </w:r>
            <w:r w:rsidRPr="00C5166C">
              <w:rPr>
                <w:rFonts w:eastAsia="Times New Roman" w:cstheme="minorHAnsi"/>
                <w:color w:val="000000"/>
                <w:szCs w:val="22"/>
                <w:lang w:val="en-GB" w:eastAsia="ru-RU"/>
              </w:rPr>
              <w:t xml:space="preserve"> number of work hours. Furthermore, the Ministry shall be entitled to set the quota of hours required for each task at its own discretion</w:t>
            </w:r>
          </w:p>
          <w:p w14:paraId="2AB775DF"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rtl/>
                <w:lang w:val="en-GB" w:eastAsia="ru-RU"/>
              </w:rPr>
            </w:pPr>
            <w:r w:rsidRPr="00C5166C">
              <w:rPr>
                <w:rFonts w:eastAsia="Times New Roman" w:cstheme="minorHAnsi"/>
                <w:color w:val="000000"/>
                <w:szCs w:val="22"/>
                <w:lang w:val="en-GB" w:eastAsia="ru-RU"/>
              </w:rPr>
              <w:t>Clarification is required for correct interpretation of the provisions</w:t>
            </w:r>
          </w:p>
        </w:tc>
        <w:tc>
          <w:tcPr>
            <w:tcW w:w="1559" w:type="dxa"/>
          </w:tcPr>
          <w:p w14:paraId="5B31ADF3"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lastRenderedPageBreak/>
              <w:t>Appendix A, S. 5.</w:t>
            </w:r>
          </w:p>
        </w:tc>
        <w:tc>
          <w:tcPr>
            <w:tcW w:w="4962" w:type="dxa"/>
          </w:tcPr>
          <w:p w14:paraId="1BEB1720"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We see no contradiction between both provisions. </w:t>
            </w:r>
          </w:p>
          <w:p w14:paraId="24E2E3EB" w14:textId="77777777" w:rsidR="00A67AF9" w:rsidRPr="00C5166C" w:rsidRDefault="00A67AF9" w:rsidP="00A67AF9">
            <w:pPr>
              <w:bidi w:val="0"/>
              <w:spacing w:line="276" w:lineRule="auto"/>
              <w:jc w:val="both"/>
              <w:rPr>
                <w:rStyle w:val="ac"/>
                <w:rFonts w:cstheme="minorHAnsi"/>
                <w:sz w:val="22"/>
                <w:szCs w:val="22"/>
              </w:rPr>
            </w:pPr>
            <w:r w:rsidRPr="00C5166C">
              <w:rPr>
                <w:rFonts w:cstheme="minorHAnsi"/>
                <w:szCs w:val="22"/>
              </w:rPr>
              <w:t>Regarding the second paragraph</w:t>
            </w:r>
            <w:r>
              <w:rPr>
                <w:rFonts w:cstheme="minorHAnsi"/>
              </w:rPr>
              <w:t>,</w:t>
            </w:r>
            <w:r w:rsidRPr="00C5166C">
              <w:rPr>
                <w:rFonts w:cstheme="minorHAnsi"/>
                <w:szCs w:val="22"/>
              </w:rPr>
              <w:t xml:space="preserve"> it should be clarified that the Ministry is entitled to change the scope of </w:t>
            </w:r>
            <w:r w:rsidRPr="00C5166C">
              <w:rPr>
                <w:rFonts w:cstheme="minorHAnsi"/>
                <w:szCs w:val="22"/>
              </w:rPr>
              <w:lastRenderedPageBreak/>
              <w:t>work</w:t>
            </w:r>
            <w:r>
              <w:rPr>
                <w:rFonts w:cstheme="minorHAnsi"/>
              </w:rPr>
              <w:t xml:space="preserve"> of a specific project</w:t>
            </w:r>
            <w:r w:rsidRPr="00C5166C">
              <w:rPr>
                <w:rFonts w:cstheme="minorHAnsi"/>
                <w:szCs w:val="22"/>
              </w:rPr>
              <w:t xml:space="preserve"> and its requirements or to cancel it upon a written notice to the </w:t>
            </w:r>
            <w:r>
              <w:rPr>
                <w:rFonts w:cstheme="minorHAnsi"/>
              </w:rPr>
              <w:t>C</w:t>
            </w:r>
            <w:r w:rsidRPr="00C5166C">
              <w:rPr>
                <w:rFonts w:cstheme="minorHAnsi"/>
                <w:szCs w:val="22"/>
              </w:rPr>
              <w:t>onsultant, without derogating the right of the Consultant to be paid for work that ha</w:t>
            </w:r>
            <w:r>
              <w:rPr>
                <w:rFonts w:cstheme="minorHAnsi"/>
              </w:rPr>
              <w:t>s</w:t>
            </w:r>
            <w:r w:rsidRPr="00C5166C">
              <w:rPr>
                <w:rFonts w:cstheme="minorHAnsi"/>
                <w:szCs w:val="22"/>
              </w:rPr>
              <w:t xml:space="preserve"> been done before receiving the notice of change, subject to the terms of the agreement. </w:t>
            </w:r>
          </w:p>
          <w:p w14:paraId="2F4E782D" w14:textId="77777777" w:rsidR="00A67AF9" w:rsidRPr="00C5166C" w:rsidRDefault="00A67AF9" w:rsidP="00A67AF9">
            <w:pPr>
              <w:bidi w:val="0"/>
              <w:spacing w:line="276" w:lineRule="auto"/>
              <w:jc w:val="both"/>
              <w:rPr>
                <w:rFonts w:cstheme="minorHAnsi"/>
                <w:i/>
                <w:iCs/>
                <w:szCs w:val="22"/>
                <w:rtl/>
              </w:rPr>
            </w:pPr>
            <w:r w:rsidRPr="00C5166C">
              <w:rPr>
                <w:rFonts w:cstheme="minorHAnsi"/>
                <w:szCs w:val="22"/>
              </w:rPr>
              <w:t xml:space="preserve"> </w:t>
            </w:r>
          </w:p>
        </w:tc>
      </w:tr>
      <w:tr w:rsidR="00A67AF9" w:rsidRPr="00C5166C" w14:paraId="240DD3DC" w14:textId="77777777" w:rsidTr="00935F3D">
        <w:tc>
          <w:tcPr>
            <w:tcW w:w="562" w:type="dxa"/>
          </w:tcPr>
          <w:p w14:paraId="747AD8AB" w14:textId="77777777" w:rsidR="00A67AF9" w:rsidRPr="00C5166C" w:rsidRDefault="00A67AF9" w:rsidP="00A67AF9">
            <w:pPr>
              <w:bidi w:val="0"/>
              <w:spacing w:line="276" w:lineRule="auto"/>
              <w:jc w:val="both"/>
              <w:rPr>
                <w:rFonts w:cstheme="minorHAnsi"/>
                <w:szCs w:val="22"/>
              </w:rPr>
            </w:pPr>
            <w:r w:rsidRPr="00C5166C">
              <w:rPr>
                <w:rFonts w:cstheme="minorHAnsi"/>
                <w:szCs w:val="22"/>
              </w:rPr>
              <w:lastRenderedPageBreak/>
              <w:t>6</w:t>
            </w:r>
          </w:p>
        </w:tc>
        <w:tc>
          <w:tcPr>
            <w:tcW w:w="4678" w:type="dxa"/>
          </w:tcPr>
          <w:p w14:paraId="27D70957"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eastAsia="ru-RU"/>
              </w:rPr>
            </w:pPr>
            <w:r w:rsidRPr="00C5166C">
              <w:rPr>
                <w:rFonts w:eastAsia="Times New Roman" w:cstheme="minorHAnsi"/>
                <w:color w:val="000000"/>
                <w:szCs w:val="22"/>
                <w:lang w:val="en-GB" w:eastAsia="ru-RU"/>
              </w:rPr>
              <w:t>The Bidder with the highest Final Score shall be selected as the winning Bidder. The Ministry reserves the right to select the winning Bidder subject to certain conditions that it shall decide</w:t>
            </w:r>
          </w:p>
          <w:p w14:paraId="7F8E13C3"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eastAsia="ru-RU"/>
              </w:rPr>
            </w:pPr>
            <w:r w:rsidRPr="00C5166C">
              <w:rPr>
                <w:rFonts w:eastAsia="Times New Roman" w:cstheme="minorHAnsi"/>
                <w:color w:val="000000"/>
                <w:szCs w:val="22"/>
                <w:lang w:val="en-GB" w:eastAsia="ru-RU"/>
              </w:rPr>
              <w:t xml:space="preserve">This would appear not to be a straightforward process. </w:t>
            </w:r>
            <w:r w:rsidRPr="00C5166C">
              <w:rPr>
                <w:rFonts w:eastAsia="Times New Roman" w:cstheme="minorHAnsi"/>
                <w:color w:val="000000"/>
                <w:szCs w:val="22"/>
                <w:lang w:eastAsia="ru-RU"/>
              </w:rPr>
              <w:t>Perhaps, MEWR can address this.</w:t>
            </w:r>
          </w:p>
        </w:tc>
        <w:tc>
          <w:tcPr>
            <w:tcW w:w="1559" w:type="dxa"/>
          </w:tcPr>
          <w:p w14:paraId="089912C9"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t xml:space="preserve">S. 5 </w:t>
            </w:r>
          </w:p>
          <w:p w14:paraId="73724EB5" w14:textId="77777777" w:rsidR="00A67AF9" w:rsidRPr="00C5166C" w:rsidRDefault="00A67AF9" w:rsidP="00A67AF9">
            <w:pPr>
              <w:tabs>
                <w:tab w:val="left" w:pos="8617"/>
              </w:tabs>
              <w:bidi w:val="0"/>
              <w:spacing w:line="276" w:lineRule="auto"/>
              <w:jc w:val="both"/>
              <w:rPr>
                <w:rFonts w:cstheme="minorHAnsi"/>
                <w:color w:val="000000" w:themeColor="text1"/>
                <w:szCs w:val="22"/>
              </w:rPr>
            </w:pPr>
          </w:p>
        </w:tc>
        <w:tc>
          <w:tcPr>
            <w:tcW w:w="4962" w:type="dxa"/>
          </w:tcPr>
          <w:p w14:paraId="03425D9C" w14:textId="77777777" w:rsidR="00A67AF9" w:rsidRPr="00C5166C" w:rsidRDefault="00A67AF9" w:rsidP="00A67AF9">
            <w:pPr>
              <w:bidi w:val="0"/>
              <w:spacing w:line="276" w:lineRule="auto"/>
              <w:jc w:val="both"/>
              <w:rPr>
                <w:rFonts w:cstheme="minorHAnsi"/>
                <w:i/>
                <w:iCs/>
                <w:szCs w:val="22"/>
              </w:rPr>
            </w:pPr>
            <w:r w:rsidRPr="00C5166C">
              <w:rPr>
                <w:rStyle w:val="ac"/>
                <w:rFonts w:cstheme="minorHAnsi"/>
                <w:sz w:val="22"/>
                <w:szCs w:val="22"/>
              </w:rPr>
              <w:t xml:space="preserve">Under special circumstances, the Ministry reserves </w:t>
            </w:r>
            <w:r>
              <w:rPr>
                <w:rStyle w:val="ac"/>
                <w:rFonts w:cstheme="minorHAnsi"/>
                <w:szCs w:val="22"/>
              </w:rPr>
              <w:t>its</w:t>
            </w:r>
            <w:r w:rsidRPr="00C5166C">
              <w:rPr>
                <w:rStyle w:val="ac"/>
                <w:rFonts w:cstheme="minorHAnsi"/>
                <w:sz w:val="22"/>
                <w:szCs w:val="22"/>
              </w:rPr>
              <w:t xml:space="preserve"> right to select the winning Bidder subject to certain conditions. Such conditions may apply, for example, when the winning bidder is in a conflict of interests</w:t>
            </w:r>
            <w:r w:rsidRPr="00C5166C">
              <w:rPr>
                <w:rFonts w:cstheme="minorHAnsi"/>
                <w:i/>
                <w:iCs/>
                <w:szCs w:val="22"/>
              </w:rPr>
              <w:t xml:space="preserve">. </w:t>
            </w:r>
            <w:r w:rsidRPr="00C5166C">
              <w:rPr>
                <w:rFonts w:cstheme="minorHAnsi"/>
                <w:szCs w:val="22"/>
              </w:rPr>
              <w:t>It is clarified that the bidder will not be obligated to sign the agreement if he does not agree to the conditions determined by the Ministry</w:t>
            </w:r>
          </w:p>
        </w:tc>
      </w:tr>
      <w:tr w:rsidR="00A67AF9" w:rsidRPr="00C5166C" w14:paraId="698CE591" w14:textId="77777777" w:rsidTr="00935F3D">
        <w:tc>
          <w:tcPr>
            <w:tcW w:w="562" w:type="dxa"/>
          </w:tcPr>
          <w:p w14:paraId="41855C84" w14:textId="77777777" w:rsidR="00A67AF9" w:rsidRPr="00C5166C" w:rsidRDefault="00A67AF9" w:rsidP="00A67AF9">
            <w:pPr>
              <w:bidi w:val="0"/>
              <w:spacing w:line="276" w:lineRule="auto"/>
              <w:jc w:val="both"/>
              <w:rPr>
                <w:rFonts w:cstheme="minorHAnsi"/>
                <w:szCs w:val="22"/>
              </w:rPr>
            </w:pPr>
            <w:r w:rsidRPr="00C5166C">
              <w:rPr>
                <w:rFonts w:cstheme="minorHAnsi"/>
                <w:szCs w:val="22"/>
              </w:rPr>
              <w:t>7</w:t>
            </w:r>
          </w:p>
          <w:p w14:paraId="343B0A46" w14:textId="77777777" w:rsidR="00A67AF9" w:rsidRPr="00C5166C" w:rsidRDefault="00A67AF9" w:rsidP="00A67AF9">
            <w:pPr>
              <w:bidi w:val="0"/>
              <w:spacing w:line="276" w:lineRule="auto"/>
              <w:jc w:val="both"/>
              <w:rPr>
                <w:rFonts w:cstheme="minorHAnsi"/>
                <w:szCs w:val="22"/>
              </w:rPr>
            </w:pPr>
          </w:p>
          <w:p w14:paraId="5805DC7F" w14:textId="77777777" w:rsidR="00A67AF9" w:rsidRPr="00C5166C" w:rsidRDefault="00A67AF9" w:rsidP="00A67AF9">
            <w:pPr>
              <w:bidi w:val="0"/>
              <w:spacing w:line="276" w:lineRule="auto"/>
              <w:jc w:val="both"/>
              <w:rPr>
                <w:rFonts w:cstheme="minorHAnsi"/>
                <w:szCs w:val="22"/>
              </w:rPr>
            </w:pPr>
          </w:p>
        </w:tc>
        <w:tc>
          <w:tcPr>
            <w:tcW w:w="4678" w:type="dxa"/>
          </w:tcPr>
          <w:p w14:paraId="73E8CF66" w14:textId="77777777" w:rsidR="00A67AF9" w:rsidRPr="00C5166C" w:rsidRDefault="00A67AF9" w:rsidP="00A67AF9">
            <w:pPr>
              <w:bidi w:val="0"/>
              <w:spacing w:before="100" w:beforeAutospacing="1" w:after="100" w:afterAutospacing="1" w:line="276" w:lineRule="auto"/>
              <w:jc w:val="both"/>
              <w:rPr>
                <w:rFonts w:eastAsia="Times New Roman" w:cstheme="minorHAnsi"/>
                <w:color w:val="000000"/>
                <w:szCs w:val="22"/>
                <w:lang w:val="en-GB" w:eastAsia="ru-RU"/>
              </w:rPr>
            </w:pPr>
            <w:r w:rsidRPr="00C5166C">
              <w:rPr>
                <w:rFonts w:eastAsia="Times New Roman" w:cstheme="minorHAnsi"/>
                <w:color w:val="000000"/>
                <w:szCs w:val="22"/>
                <w:lang w:val="en-GB" w:eastAsia="ru-RU"/>
              </w:rPr>
              <w:t xml:space="preserve">It is required to submit a fully </w:t>
            </w:r>
            <w:r w:rsidRPr="00C5166C">
              <w:rPr>
                <w:rFonts w:eastAsia="Times New Roman" w:cstheme="minorHAnsi"/>
                <w:noProof/>
                <w:color w:val="000000"/>
                <w:szCs w:val="22"/>
                <w:lang w:val="en-GB" w:eastAsia="ru-RU"/>
              </w:rPr>
              <w:t>executed</w:t>
            </w:r>
            <w:r w:rsidRPr="00C5166C">
              <w:rPr>
                <w:rFonts w:eastAsia="Times New Roman" w:cstheme="minorHAnsi"/>
                <w:color w:val="000000"/>
                <w:szCs w:val="22"/>
                <w:lang w:val="en-GB" w:eastAsia="ru-RU"/>
              </w:rPr>
              <w:t xml:space="preserve"> contract as part of the proposal. Please clarify to what extent the Agreement T&amp;Cs are negotiable. We would like to review the following </w:t>
            </w:r>
            <w:r w:rsidRPr="00C5166C">
              <w:rPr>
                <w:rFonts w:eastAsia="Times New Roman" w:cstheme="minorHAnsi"/>
                <w:noProof/>
                <w:color w:val="000000"/>
                <w:szCs w:val="22"/>
                <w:lang w:val="en-GB" w:eastAsia="ru-RU"/>
              </w:rPr>
              <w:t>provisions</w:t>
            </w:r>
            <w:r w:rsidRPr="00C5166C">
              <w:rPr>
                <w:rFonts w:eastAsia="Times New Roman" w:cstheme="minorHAnsi"/>
                <w:color w:val="000000"/>
                <w:szCs w:val="22"/>
                <w:lang w:val="en-GB" w:eastAsia="ru-RU"/>
              </w:rPr>
              <w:t xml:space="preserve"> of the Agreement:</w:t>
            </w:r>
          </w:p>
          <w:p w14:paraId="45695F09" w14:textId="77777777" w:rsidR="00A67AF9" w:rsidRPr="00A67AF9"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b w:val="0"/>
                <w:bCs w:val="0"/>
                <w:color w:val="000000"/>
                <w:sz w:val="22"/>
                <w:szCs w:val="22"/>
              </w:rPr>
            </w:pPr>
            <w:r w:rsidRPr="00A67AF9">
              <w:rPr>
                <w:rFonts w:asciiTheme="minorHAnsi" w:hAnsiTheme="minorHAnsi" w:cstheme="minorHAnsi"/>
                <w:b w:val="0"/>
                <w:bCs w:val="0"/>
                <w:color w:val="000000"/>
                <w:sz w:val="22"/>
                <w:szCs w:val="22"/>
              </w:rPr>
              <w:lastRenderedPageBreak/>
              <w:t>IP ownership/license</w:t>
            </w:r>
          </w:p>
          <w:p w14:paraId="766FB428" w14:textId="77777777" w:rsidR="00A67AF9" w:rsidRPr="00A67AF9"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b w:val="0"/>
                <w:bCs w:val="0"/>
                <w:color w:val="212121"/>
                <w:sz w:val="22"/>
                <w:szCs w:val="22"/>
              </w:rPr>
            </w:pPr>
            <w:r w:rsidRPr="00A67AF9">
              <w:rPr>
                <w:rFonts w:asciiTheme="minorHAnsi" w:hAnsiTheme="minorHAnsi" w:cstheme="minorHAnsi"/>
                <w:b w:val="0"/>
                <w:bCs w:val="0"/>
                <w:color w:val="000000"/>
                <w:sz w:val="22"/>
                <w:szCs w:val="22"/>
              </w:rPr>
              <w:t>Conflict of interest</w:t>
            </w:r>
          </w:p>
          <w:p w14:paraId="365F6535" w14:textId="77777777" w:rsidR="00A67AF9" w:rsidRPr="00A67AF9"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b w:val="0"/>
                <w:bCs w:val="0"/>
                <w:color w:val="212121"/>
                <w:sz w:val="22"/>
                <w:szCs w:val="22"/>
              </w:rPr>
            </w:pPr>
            <w:r w:rsidRPr="00A67AF9">
              <w:rPr>
                <w:rFonts w:asciiTheme="minorHAnsi" w:hAnsiTheme="minorHAnsi" w:cstheme="minorHAnsi"/>
                <w:b w:val="0"/>
                <w:bCs w:val="0"/>
                <w:color w:val="000000"/>
                <w:sz w:val="22"/>
                <w:szCs w:val="22"/>
              </w:rPr>
              <w:t>Payment terms/schedule/acceptance</w:t>
            </w:r>
          </w:p>
          <w:p w14:paraId="04BA73B4" w14:textId="77777777" w:rsidR="00A67AF9" w:rsidRPr="00A67AF9"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b w:val="0"/>
                <w:bCs w:val="0"/>
                <w:color w:val="212121"/>
                <w:sz w:val="22"/>
                <w:szCs w:val="22"/>
              </w:rPr>
            </w:pPr>
            <w:r w:rsidRPr="00A67AF9">
              <w:rPr>
                <w:rFonts w:asciiTheme="minorHAnsi" w:hAnsiTheme="minorHAnsi" w:cstheme="minorHAnsi"/>
                <w:b w:val="0"/>
                <w:bCs w:val="0"/>
                <w:color w:val="000000"/>
                <w:sz w:val="22"/>
                <w:szCs w:val="22"/>
              </w:rPr>
              <w:t>Warranty/remedy</w:t>
            </w:r>
          </w:p>
          <w:p w14:paraId="7FF584DF" w14:textId="77777777" w:rsidR="00A67AF9" w:rsidRPr="00A67AF9"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b w:val="0"/>
                <w:bCs w:val="0"/>
                <w:color w:val="212121"/>
                <w:sz w:val="22"/>
                <w:szCs w:val="22"/>
              </w:rPr>
            </w:pPr>
            <w:r w:rsidRPr="00A67AF9">
              <w:rPr>
                <w:rFonts w:asciiTheme="minorHAnsi" w:hAnsiTheme="minorHAnsi" w:cstheme="minorHAnsi"/>
                <w:b w:val="0"/>
                <w:bCs w:val="0"/>
                <w:color w:val="000000"/>
                <w:sz w:val="22"/>
                <w:szCs w:val="22"/>
              </w:rPr>
              <w:t>Damages/liability cap</w:t>
            </w:r>
          </w:p>
          <w:p w14:paraId="08F75FF8" w14:textId="77777777" w:rsidR="00A67AF9" w:rsidRPr="00A67AF9"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b w:val="0"/>
                <w:bCs w:val="0"/>
                <w:color w:val="212121"/>
                <w:sz w:val="22"/>
                <w:szCs w:val="22"/>
              </w:rPr>
            </w:pPr>
            <w:r w:rsidRPr="00A67AF9">
              <w:rPr>
                <w:rFonts w:asciiTheme="minorHAnsi" w:hAnsiTheme="minorHAnsi" w:cstheme="minorHAnsi"/>
                <w:b w:val="0"/>
                <w:bCs w:val="0"/>
                <w:color w:val="000000"/>
                <w:sz w:val="22"/>
                <w:szCs w:val="22"/>
              </w:rPr>
              <w:t>Insurance coverage</w:t>
            </w:r>
          </w:p>
          <w:p w14:paraId="15295170" w14:textId="77777777" w:rsidR="00A67AF9" w:rsidRPr="00C5166C" w:rsidRDefault="00A67AF9" w:rsidP="00A67AF9">
            <w:pPr>
              <w:pStyle w:val="xxmsolistparagraph"/>
              <w:numPr>
                <w:ilvl w:val="0"/>
                <w:numId w:val="6"/>
              </w:numPr>
              <w:shd w:val="clear" w:color="auto" w:fill="FFFFFF"/>
              <w:spacing w:before="0" w:beforeAutospacing="0" w:after="0" w:afterAutospacing="0" w:line="276" w:lineRule="auto"/>
              <w:jc w:val="both"/>
              <w:rPr>
                <w:rFonts w:asciiTheme="minorHAnsi" w:hAnsiTheme="minorHAnsi" w:cstheme="minorHAnsi"/>
                <w:color w:val="212121"/>
                <w:sz w:val="22"/>
                <w:szCs w:val="22"/>
              </w:rPr>
            </w:pPr>
            <w:r w:rsidRPr="00A67AF9">
              <w:rPr>
                <w:rFonts w:asciiTheme="minorHAnsi" w:hAnsiTheme="minorHAnsi" w:cstheme="minorHAnsi"/>
                <w:b w:val="0"/>
                <w:bCs w:val="0"/>
                <w:color w:val="000000"/>
                <w:sz w:val="22"/>
                <w:szCs w:val="22"/>
              </w:rPr>
              <w:t>Compliance</w:t>
            </w:r>
          </w:p>
        </w:tc>
        <w:tc>
          <w:tcPr>
            <w:tcW w:w="1559" w:type="dxa"/>
          </w:tcPr>
          <w:p w14:paraId="6D25ECD5"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noProof/>
                <w:color w:val="000000" w:themeColor="text1"/>
                <w:szCs w:val="22"/>
              </w:rPr>
              <w:lastRenderedPageBreak/>
              <w:t>Agreement</w:t>
            </w:r>
          </w:p>
        </w:tc>
        <w:tc>
          <w:tcPr>
            <w:tcW w:w="4962" w:type="dxa"/>
          </w:tcPr>
          <w:p w14:paraId="62FB9B97" w14:textId="77777777" w:rsidR="00A67AF9" w:rsidRPr="00C5166C" w:rsidRDefault="00A67AF9" w:rsidP="00A67AF9">
            <w:pPr>
              <w:bidi w:val="0"/>
              <w:spacing w:line="276" w:lineRule="auto"/>
              <w:jc w:val="both"/>
              <w:rPr>
                <w:rFonts w:cstheme="minorHAnsi"/>
                <w:szCs w:val="22"/>
              </w:rPr>
            </w:pPr>
            <w:r w:rsidRPr="00C5166C">
              <w:rPr>
                <w:rFonts w:cstheme="minorHAnsi"/>
                <w:szCs w:val="22"/>
              </w:rPr>
              <w:t>Unfortunately, none of the Agreement provision</w:t>
            </w:r>
            <w:r>
              <w:rPr>
                <w:rFonts w:cstheme="minorHAnsi"/>
              </w:rPr>
              <w:t>s</w:t>
            </w:r>
            <w:r w:rsidRPr="00C5166C">
              <w:rPr>
                <w:rFonts w:cstheme="minorHAnsi"/>
                <w:szCs w:val="22"/>
              </w:rPr>
              <w:t xml:space="preserve"> is negotiable. </w:t>
            </w:r>
          </w:p>
        </w:tc>
      </w:tr>
      <w:tr w:rsidR="00A67AF9" w:rsidRPr="00C5166C" w14:paraId="5A149416" w14:textId="77777777" w:rsidTr="00935F3D">
        <w:tc>
          <w:tcPr>
            <w:tcW w:w="562" w:type="dxa"/>
          </w:tcPr>
          <w:p w14:paraId="5D4FD33A" w14:textId="77777777" w:rsidR="00A67AF9" w:rsidRPr="00C5166C" w:rsidRDefault="00A67AF9" w:rsidP="00A67AF9">
            <w:pPr>
              <w:bidi w:val="0"/>
              <w:spacing w:line="276" w:lineRule="auto"/>
              <w:jc w:val="both"/>
              <w:rPr>
                <w:rFonts w:cstheme="minorHAnsi"/>
                <w:szCs w:val="22"/>
              </w:rPr>
            </w:pPr>
            <w:r w:rsidRPr="00C5166C">
              <w:rPr>
                <w:rFonts w:cstheme="minorHAnsi"/>
                <w:szCs w:val="22"/>
              </w:rPr>
              <w:t>8</w:t>
            </w:r>
          </w:p>
        </w:tc>
        <w:tc>
          <w:tcPr>
            <w:tcW w:w="4678" w:type="dxa"/>
          </w:tcPr>
          <w:p w14:paraId="5A6732F5" w14:textId="77777777" w:rsidR="00A67AF9" w:rsidRPr="00C5166C" w:rsidRDefault="00A67AF9" w:rsidP="00A67AF9">
            <w:pPr>
              <w:bidi w:val="0"/>
              <w:spacing w:line="276" w:lineRule="auto"/>
              <w:jc w:val="both"/>
              <w:rPr>
                <w:rFonts w:cstheme="minorHAnsi"/>
                <w:color w:val="000000"/>
                <w:szCs w:val="22"/>
                <w:lang w:val="en-GB"/>
              </w:rPr>
            </w:pPr>
            <w:r w:rsidRPr="00C5166C">
              <w:rPr>
                <w:rFonts w:cstheme="minorHAnsi"/>
                <w:color w:val="000000"/>
                <w:szCs w:val="22"/>
                <w:lang w:val="en-GB"/>
              </w:rPr>
              <w:t>Many appendices of the proposal require Attorney certification. Would it be possible to confirm if it is sufficient, that such appendices are certified by the in-house qualified attorney/lawyer and no notarization is required?</w:t>
            </w:r>
          </w:p>
          <w:p w14:paraId="441AC782" w14:textId="77777777" w:rsidR="00A67AF9" w:rsidRPr="00C5166C" w:rsidRDefault="00A67AF9" w:rsidP="00A67AF9">
            <w:pPr>
              <w:tabs>
                <w:tab w:val="left" w:pos="8617"/>
              </w:tabs>
              <w:bidi w:val="0"/>
              <w:spacing w:line="276" w:lineRule="auto"/>
              <w:jc w:val="both"/>
              <w:rPr>
                <w:rFonts w:cstheme="minorHAnsi"/>
                <w:color w:val="000000"/>
                <w:szCs w:val="22"/>
              </w:rPr>
            </w:pPr>
          </w:p>
        </w:tc>
        <w:tc>
          <w:tcPr>
            <w:tcW w:w="1559" w:type="dxa"/>
          </w:tcPr>
          <w:p w14:paraId="52648C49"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t>General</w:t>
            </w:r>
          </w:p>
        </w:tc>
        <w:tc>
          <w:tcPr>
            <w:tcW w:w="4962" w:type="dxa"/>
          </w:tcPr>
          <w:p w14:paraId="76669FFD"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In-house attorney may certify all Tender's appendices.  </w:t>
            </w:r>
          </w:p>
        </w:tc>
      </w:tr>
      <w:tr w:rsidR="00A67AF9" w:rsidRPr="00C5166C" w14:paraId="098D11A0" w14:textId="77777777" w:rsidTr="00935F3D">
        <w:tc>
          <w:tcPr>
            <w:tcW w:w="562" w:type="dxa"/>
          </w:tcPr>
          <w:p w14:paraId="6281EE7A" w14:textId="77777777" w:rsidR="00A67AF9" w:rsidRPr="00C5166C" w:rsidRDefault="00A67AF9" w:rsidP="00A67AF9">
            <w:pPr>
              <w:bidi w:val="0"/>
              <w:spacing w:line="276" w:lineRule="auto"/>
              <w:jc w:val="both"/>
              <w:rPr>
                <w:rFonts w:cstheme="minorHAnsi"/>
                <w:szCs w:val="22"/>
              </w:rPr>
            </w:pPr>
            <w:r w:rsidRPr="00C5166C">
              <w:rPr>
                <w:rFonts w:cstheme="minorHAnsi"/>
                <w:szCs w:val="22"/>
              </w:rPr>
              <w:t>9</w:t>
            </w:r>
          </w:p>
        </w:tc>
        <w:tc>
          <w:tcPr>
            <w:tcW w:w="4678" w:type="dxa"/>
          </w:tcPr>
          <w:p w14:paraId="2DA69A09" w14:textId="77777777" w:rsidR="00A67AF9" w:rsidRPr="00C5166C" w:rsidRDefault="00A67AF9" w:rsidP="00A67AF9">
            <w:pPr>
              <w:tabs>
                <w:tab w:val="left" w:pos="8617"/>
              </w:tabs>
              <w:bidi w:val="0"/>
              <w:spacing w:line="276" w:lineRule="auto"/>
              <w:jc w:val="both"/>
              <w:rPr>
                <w:rFonts w:cstheme="minorHAnsi"/>
                <w:color w:val="000000"/>
                <w:szCs w:val="22"/>
              </w:rPr>
            </w:pPr>
            <w:r w:rsidRPr="00C5166C">
              <w:rPr>
                <w:rFonts w:cstheme="minorHAnsi"/>
                <w:color w:val="000000"/>
                <w:szCs w:val="22"/>
                <w:lang w:val="en-GB"/>
              </w:rPr>
              <w:t>An attorney confirmation is included at the end of the contract (Appendix B ). Could you please clarify whether the Attorney confirmation is required when an actual contract is going to be signed by the winning bidder or such attorney confirmation shall be submitted as part of the proposal confirming the signature on the executed copy of the contract? </w:t>
            </w:r>
          </w:p>
        </w:tc>
        <w:tc>
          <w:tcPr>
            <w:tcW w:w="1559" w:type="dxa"/>
          </w:tcPr>
          <w:p w14:paraId="6B700B55"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szCs w:val="22"/>
                <w:lang w:val="en-GB"/>
              </w:rPr>
              <w:t>Appendix B</w:t>
            </w:r>
          </w:p>
        </w:tc>
        <w:tc>
          <w:tcPr>
            <w:tcW w:w="4962" w:type="dxa"/>
          </w:tcPr>
          <w:p w14:paraId="446FA155" w14:textId="77777777" w:rsidR="00A67AF9" w:rsidRPr="00C5166C" w:rsidRDefault="00A67AF9" w:rsidP="00A67AF9">
            <w:pPr>
              <w:bidi w:val="0"/>
              <w:spacing w:line="276" w:lineRule="auto"/>
              <w:jc w:val="both"/>
              <w:rPr>
                <w:rFonts w:cstheme="minorHAnsi"/>
                <w:szCs w:val="22"/>
                <w:lang w:val="en-GB"/>
              </w:rPr>
            </w:pPr>
            <w:r w:rsidRPr="00C5166C">
              <w:rPr>
                <w:rFonts w:cstheme="minorHAnsi"/>
                <w:szCs w:val="22"/>
                <w:lang w:val="en-GB"/>
              </w:rPr>
              <w:t xml:space="preserve">An attorney confirmation shall be submitted as part of the proposal confirming the signature on the executed copy of the contract. </w:t>
            </w:r>
            <w:r>
              <w:rPr>
                <w:rFonts w:cstheme="minorHAnsi"/>
                <w:lang w:val="en-GB"/>
              </w:rPr>
              <w:t xml:space="preserve"> </w:t>
            </w:r>
          </w:p>
        </w:tc>
      </w:tr>
      <w:tr w:rsidR="00A67AF9" w:rsidRPr="00C5166C" w14:paraId="5A54FE2E" w14:textId="77777777" w:rsidTr="00935F3D">
        <w:trPr>
          <w:trHeight w:val="1680"/>
        </w:trPr>
        <w:tc>
          <w:tcPr>
            <w:tcW w:w="562" w:type="dxa"/>
          </w:tcPr>
          <w:p w14:paraId="03E9CF24" w14:textId="77777777" w:rsidR="00A67AF9" w:rsidRPr="00C5166C" w:rsidRDefault="00A67AF9" w:rsidP="00A67AF9">
            <w:pPr>
              <w:bidi w:val="0"/>
              <w:spacing w:line="276" w:lineRule="auto"/>
              <w:jc w:val="both"/>
              <w:rPr>
                <w:rFonts w:cstheme="minorHAnsi"/>
                <w:szCs w:val="22"/>
              </w:rPr>
            </w:pPr>
            <w:r w:rsidRPr="00C5166C">
              <w:rPr>
                <w:rFonts w:cstheme="minorHAnsi"/>
                <w:szCs w:val="22"/>
              </w:rPr>
              <w:t>10</w:t>
            </w:r>
          </w:p>
        </w:tc>
        <w:tc>
          <w:tcPr>
            <w:tcW w:w="4678" w:type="dxa"/>
          </w:tcPr>
          <w:p w14:paraId="3BBC4B68" w14:textId="77777777" w:rsidR="00A67AF9" w:rsidRPr="00C5166C" w:rsidRDefault="00A67AF9" w:rsidP="00A67AF9">
            <w:pPr>
              <w:numPr>
                <w:ilvl w:val="0"/>
                <w:numId w:val="5"/>
              </w:numPr>
              <w:bidi w:val="0"/>
              <w:spacing w:line="276" w:lineRule="auto"/>
              <w:jc w:val="both"/>
              <w:rPr>
                <w:rFonts w:eastAsia="Times New Roman" w:cstheme="minorHAnsi"/>
                <w:szCs w:val="22"/>
                <w:lang w:val="en-GB"/>
              </w:rPr>
            </w:pPr>
            <w:r w:rsidRPr="00C5166C">
              <w:rPr>
                <w:rFonts w:eastAsia="Times New Roman" w:cstheme="minorHAnsi"/>
                <w:szCs w:val="22"/>
                <w:u w:val="single"/>
                <w:lang w:val="en-GB"/>
              </w:rPr>
              <w:t>Rate Risk.</w:t>
            </w:r>
            <w:r w:rsidRPr="00C5166C">
              <w:rPr>
                <w:rFonts w:eastAsia="Times New Roman" w:cstheme="minorHAnsi"/>
                <w:szCs w:val="22"/>
                <w:lang w:val="en-GB"/>
              </w:rPr>
              <w:t xml:space="preserve">  The term is 12 months, plus additional extensions of up to an additional 36-months and during extensions all terms stay the same.  A fixed (and effectively declining rate) over a 4-year period is not viable for us given the ‘call-off’ nature of the contract and </w:t>
            </w:r>
            <w:r w:rsidRPr="00C5166C">
              <w:rPr>
                <w:rFonts w:eastAsia="Times New Roman" w:cstheme="minorHAnsi"/>
                <w:szCs w:val="22"/>
                <w:lang w:val="en-GB"/>
              </w:rPr>
              <w:lastRenderedPageBreak/>
              <w:t xml:space="preserve">the seniority / quality of the people we would be putting forward.  </w:t>
            </w:r>
          </w:p>
          <w:p w14:paraId="41A59884" w14:textId="77777777" w:rsidR="00A67AF9" w:rsidRPr="00C5166C" w:rsidRDefault="00A67AF9" w:rsidP="00A67AF9">
            <w:pPr>
              <w:numPr>
                <w:ilvl w:val="0"/>
                <w:numId w:val="5"/>
              </w:numPr>
              <w:bidi w:val="0"/>
              <w:spacing w:line="276" w:lineRule="auto"/>
              <w:jc w:val="both"/>
              <w:rPr>
                <w:rFonts w:cstheme="minorHAnsi"/>
                <w:szCs w:val="22"/>
                <w:lang w:val="en-GB"/>
              </w:rPr>
            </w:pPr>
            <w:r w:rsidRPr="00C5166C">
              <w:rPr>
                <w:rFonts w:eastAsia="Times New Roman" w:cstheme="minorHAnsi"/>
                <w:szCs w:val="22"/>
                <w:u w:val="single"/>
                <w:lang w:val="en-GB"/>
              </w:rPr>
              <w:t>Expense Risk. </w:t>
            </w:r>
            <w:r w:rsidRPr="00C5166C">
              <w:rPr>
                <w:rFonts w:eastAsia="Times New Roman" w:cstheme="minorHAnsi"/>
                <w:szCs w:val="22"/>
                <w:lang w:val="en-GB"/>
              </w:rPr>
              <w:t xml:space="preserve"> We understand there will be an expense reimbursement for travel to Israel of $3,000 for the UK and $6,000 for the US.  The tender indicates 4-7 visits per year of at least 2-working days.  Our experience suggests that many visits will be 2 (or possibly more) professionals and more than 2 days.  This creates a couple of problems for us.  First, travel time is not reimbursed and this represents a significant ‘cost’ per professional.  In addition, for in-country visits of more than 2-days there is effectively an unreimbursed cost for each additional day for each professional.  Accordingly, we would need (i) travel time reimbursement and (ii) a per diem for in-country visits beyond 2-days as requested by the Ministry.</w:t>
            </w:r>
          </w:p>
          <w:p w14:paraId="08D8E197" w14:textId="77777777" w:rsidR="00A67AF9" w:rsidRPr="00C5166C" w:rsidRDefault="00A67AF9" w:rsidP="00A67AF9">
            <w:pPr>
              <w:bidi w:val="0"/>
              <w:spacing w:line="276" w:lineRule="auto"/>
              <w:jc w:val="both"/>
              <w:rPr>
                <w:rFonts w:cstheme="minorHAnsi"/>
                <w:color w:val="000000"/>
                <w:szCs w:val="22"/>
                <w:lang w:val="en-GB"/>
              </w:rPr>
            </w:pPr>
          </w:p>
        </w:tc>
        <w:tc>
          <w:tcPr>
            <w:tcW w:w="1559" w:type="dxa"/>
          </w:tcPr>
          <w:p w14:paraId="035304F9" w14:textId="77777777" w:rsidR="00A67AF9" w:rsidRPr="00C5166C" w:rsidRDefault="00A67AF9" w:rsidP="00A67AF9">
            <w:pPr>
              <w:tabs>
                <w:tab w:val="left" w:pos="8617"/>
              </w:tabs>
              <w:bidi w:val="0"/>
              <w:spacing w:line="276" w:lineRule="auto"/>
              <w:jc w:val="both"/>
              <w:rPr>
                <w:rFonts w:cstheme="minorHAnsi"/>
                <w:color w:val="000000" w:themeColor="text1"/>
                <w:szCs w:val="22"/>
                <w:rtl/>
              </w:rPr>
            </w:pPr>
            <w:r w:rsidRPr="00C5166C">
              <w:rPr>
                <w:rFonts w:cstheme="minorHAnsi"/>
                <w:color w:val="000000" w:themeColor="text1"/>
                <w:szCs w:val="22"/>
              </w:rPr>
              <w:lastRenderedPageBreak/>
              <w:t xml:space="preserve">S. 4.g. </w:t>
            </w:r>
          </w:p>
        </w:tc>
        <w:tc>
          <w:tcPr>
            <w:tcW w:w="4962" w:type="dxa"/>
          </w:tcPr>
          <w:p w14:paraId="22F270E4" w14:textId="77777777" w:rsidR="00A67AF9" w:rsidRPr="00C5166C" w:rsidRDefault="00A67AF9" w:rsidP="00A67AF9">
            <w:pPr>
              <w:bidi w:val="0"/>
              <w:spacing w:line="276" w:lineRule="auto"/>
              <w:jc w:val="both"/>
              <w:rPr>
                <w:rFonts w:cstheme="minorHAnsi"/>
                <w:szCs w:val="22"/>
              </w:rPr>
            </w:pPr>
            <w:r w:rsidRPr="00C5166C">
              <w:rPr>
                <w:rFonts w:cstheme="minorHAnsi"/>
                <w:szCs w:val="22"/>
              </w:rPr>
              <w:t>1. The Price Quote sh</w:t>
            </w:r>
            <w:r>
              <w:rPr>
                <w:rFonts w:cstheme="minorHAnsi"/>
              </w:rPr>
              <w:t>a</w:t>
            </w:r>
            <w:r w:rsidRPr="00C5166C">
              <w:rPr>
                <w:rFonts w:cstheme="minorHAnsi"/>
                <w:szCs w:val="22"/>
              </w:rPr>
              <w:t xml:space="preserve">ll be valid during all of the Agreement term. </w:t>
            </w:r>
          </w:p>
          <w:p w14:paraId="49E1A9A8" w14:textId="77777777" w:rsidR="00A67AF9" w:rsidRPr="00C5166C" w:rsidRDefault="00A67AF9" w:rsidP="00A67AF9">
            <w:pPr>
              <w:bidi w:val="0"/>
              <w:spacing w:line="276" w:lineRule="auto"/>
              <w:jc w:val="both"/>
              <w:rPr>
                <w:rFonts w:cstheme="minorHAnsi"/>
                <w:szCs w:val="22"/>
              </w:rPr>
            </w:pPr>
          </w:p>
          <w:p w14:paraId="71365FCE" w14:textId="77777777" w:rsidR="00A67AF9" w:rsidRPr="00C5166C" w:rsidRDefault="00A67AF9" w:rsidP="00A67AF9">
            <w:pPr>
              <w:bidi w:val="0"/>
              <w:spacing w:line="276" w:lineRule="auto"/>
              <w:jc w:val="both"/>
              <w:rPr>
                <w:rFonts w:cstheme="minorHAnsi"/>
                <w:szCs w:val="22"/>
              </w:rPr>
            </w:pPr>
            <w:r w:rsidRPr="00C5166C">
              <w:rPr>
                <w:rFonts w:cstheme="minorHAnsi"/>
                <w:szCs w:val="22"/>
              </w:rPr>
              <w:t>2.  Please see the answer to question 1 above.</w:t>
            </w:r>
          </w:p>
          <w:p w14:paraId="4E065081"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Please pay attention that the travel costs </w:t>
            </w:r>
            <w:r w:rsidRPr="00C5166C">
              <w:rPr>
                <w:rFonts w:cstheme="minorHAnsi"/>
                <w:szCs w:val="22"/>
                <w:u w:val="single"/>
              </w:rPr>
              <w:t xml:space="preserve">are per </w:t>
            </w:r>
            <w:r>
              <w:rPr>
                <w:rFonts w:cstheme="minorHAnsi"/>
                <w:u w:val="single"/>
              </w:rPr>
              <w:t>visit</w:t>
            </w:r>
            <w:r w:rsidRPr="00C5166C">
              <w:rPr>
                <w:rFonts w:cstheme="minorHAnsi"/>
                <w:szCs w:val="22"/>
                <w:u w:val="single"/>
              </w:rPr>
              <w:t xml:space="preserve"> and per team member</w:t>
            </w:r>
            <w:r w:rsidRPr="00C5166C">
              <w:rPr>
                <w:rFonts w:cstheme="minorHAnsi"/>
                <w:szCs w:val="22"/>
              </w:rPr>
              <w:t xml:space="preserve">, so if 2 team members are traveling, the costs will be doubled. </w:t>
            </w:r>
          </w:p>
          <w:p w14:paraId="634B49A4" w14:textId="77777777" w:rsidR="00A67AF9" w:rsidRPr="00C5166C" w:rsidRDefault="00A67AF9" w:rsidP="00A67AF9">
            <w:pPr>
              <w:bidi w:val="0"/>
              <w:spacing w:line="276" w:lineRule="auto"/>
              <w:jc w:val="both"/>
              <w:rPr>
                <w:rFonts w:cstheme="minorHAnsi"/>
                <w:szCs w:val="22"/>
              </w:rPr>
            </w:pPr>
            <w:r w:rsidRPr="00C5166C">
              <w:rPr>
                <w:rFonts w:cstheme="minorHAnsi"/>
                <w:szCs w:val="22"/>
              </w:rPr>
              <w:lastRenderedPageBreak/>
              <w:t xml:space="preserve">Unfortunately, for a travel of more than two days, </w:t>
            </w:r>
            <w:r>
              <w:rPr>
                <w:rFonts w:cstheme="minorHAnsi"/>
              </w:rPr>
              <w:t>the additional reimbursement will be only according to Working Hours</w:t>
            </w:r>
            <w:r w:rsidRPr="00C5166C">
              <w:rPr>
                <w:rFonts w:cstheme="minorHAnsi"/>
                <w:szCs w:val="22"/>
              </w:rPr>
              <w:t xml:space="preserve">.  </w:t>
            </w:r>
          </w:p>
        </w:tc>
      </w:tr>
      <w:tr w:rsidR="00A67AF9" w:rsidRPr="00C5166C" w14:paraId="3677FE60" w14:textId="77777777" w:rsidTr="00935F3D">
        <w:tc>
          <w:tcPr>
            <w:tcW w:w="562" w:type="dxa"/>
          </w:tcPr>
          <w:p w14:paraId="09A8103E" w14:textId="77777777" w:rsidR="00A67AF9" w:rsidRPr="00C5166C" w:rsidRDefault="00A67AF9" w:rsidP="00A67AF9">
            <w:pPr>
              <w:bidi w:val="0"/>
              <w:spacing w:line="276" w:lineRule="auto"/>
              <w:jc w:val="both"/>
              <w:rPr>
                <w:rFonts w:cstheme="minorHAnsi"/>
                <w:szCs w:val="22"/>
              </w:rPr>
            </w:pPr>
            <w:r w:rsidRPr="00C5166C">
              <w:rPr>
                <w:rFonts w:cstheme="minorHAnsi"/>
                <w:szCs w:val="22"/>
              </w:rPr>
              <w:lastRenderedPageBreak/>
              <w:t>11</w:t>
            </w:r>
          </w:p>
        </w:tc>
        <w:tc>
          <w:tcPr>
            <w:tcW w:w="4678" w:type="dxa"/>
          </w:tcPr>
          <w:p w14:paraId="0F83D2B9" w14:textId="77777777" w:rsidR="00A67AF9" w:rsidRPr="00C5166C" w:rsidRDefault="00A67AF9" w:rsidP="00A67AF9">
            <w:pPr>
              <w:tabs>
                <w:tab w:val="left" w:pos="8617"/>
              </w:tabs>
              <w:bidi w:val="0"/>
              <w:spacing w:line="276" w:lineRule="auto"/>
              <w:jc w:val="both"/>
              <w:rPr>
                <w:rFonts w:cstheme="minorHAnsi"/>
                <w:szCs w:val="22"/>
                <w:lang w:val="en-GB"/>
              </w:rPr>
            </w:pPr>
            <w:r w:rsidRPr="00C5166C">
              <w:rPr>
                <w:rFonts w:cstheme="minorHAnsi"/>
                <w:szCs w:val="22"/>
                <w:lang w:val="en-GB"/>
              </w:rPr>
              <w:t xml:space="preserve">We also note that with the weighting of technical and commercial parameters, an aggressive commercial rate bid could overwhelm a superior technical bid, even if the aggressive rate bidder only managed a minimum technical score.  Of course, we would hope that the Ministry is fairly </w:t>
            </w:r>
            <w:r w:rsidRPr="00C5166C">
              <w:rPr>
                <w:rFonts w:cstheme="minorHAnsi"/>
                <w:szCs w:val="22"/>
                <w:lang w:val="en-GB"/>
              </w:rPr>
              <w:lastRenderedPageBreak/>
              <w:t>rigorous on the technical evaluation and such bidders get knocked-out at that stage.</w:t>
            </w:r>
          </w:p>
        </w:tc>
        <w:tc>
          <w:tcPr>
            <w:tcW w:w="1559" w:type="dxa"/>
          </w:tcPr>
          <w:p w14:paraId="4F37BF86" w14:textId="77777777" w:rsidR="00A67AF9" w:rsidRPr="00C5166C" w:rsidRDefault="00A67AF9" w:rsidP="00A67AF9">
            <w:pPr>
              <w:tabs>
                <w:tab w:val="left" w:pos="8617"/>
              </w:tabs>
              <w:bidi w:val="0"/>
              <w:spacing w:line="276" w:lineRule="auto"/>
              <w:jc w:val="both"/>
              <w:rPr>
                <w:rFonts w:cstheme="minorHAnsi"/>
                <w:color w:val="000000" w:themeColor="text1"/>
                <w:szCs w:val="22"/>
                <w:rtl/>
              </w:rPr>
            </w:pPr>
            <w:r w:rsidRPr="00C5166C">
              <w:rPr>
                <w:rFonts w:cstheme="minorHAnsi"/>
                <w:color w:val="000000" w:themeColor="text1"/>
                <w:szCs w:val="22"/>
              </w:rPr>
              <w:lastRenderedPageBreak/>
              <w:t>General</w:t>
            </w:r>
          </w:p>
        </w:tc>
        <w:tc>
          <w:tcPr>
            <w:tcW w:w="4962" w:type="dxa"/>
          </w:tcPr>
          <w:p w14:paraId="28BB59FD" w14:textId="77777777" w:rsidR="00A67AF9" w:rsidRPr="00C5166C" w:rsidRDefault="00A67AF9" w:rsidP="00A67AF9">
            <w:pPr>
              <w:bidi w:val="0"/>
              <w:spacing w:line="276" w:lineRule="auto"/>
              <w:jc w:val="both"/>
              <w:rPr>
                <w:rFonts w:cstheme="minorHAnsi"/>
                <w:szCs w:val="22"/>
              </w:rPr>
            </w:pPr>
            <w:r w:rsidRPr="00C5166C">
              <w:rPr>
                <w:rFonts w:cstheme="minorHAnsi"/>
                <w:szCs w:val="22"/>
              </w:rPr>
              <w:t>We accept your comment</w:t>
            </w:r>
            <w:r>
              <w:rPr>
                <w:rFonts w:cstheme="minorHAnsi"/>
              </w:rPr>
              <w:t xml:space="preserve"> and changed the</w:t>
            </w:r>
            <w:r w:rsidRPr="00C5166C">
              <w:rPr>
                <w:rFonts w:cstheme="minorHAnsi"/>
                <w:szCs w:val="22"/>
              </w:rPr>
              <w:t xml:space="preserve"> weights </w:t>
            </w:r>
            <w:r>
              <w:rPr>
                <w:rFonts w:cstheme="minorHAnsi"/>
              </w:rPr>
              <w:t>to</w:t>
            </w:r>
            <w:r w:rsidRPr="00C5166C">
              <w:rPr>
                <w:rFonts w:cstheme="minorHAnsi"/>
                <w:szCs w:val="22"/>
              </w:rPr>
              <w:t xml:space="preserve"> </w:t>
            </w:r>
            <w:r w:rsidRPr="00C5166C">
              <w:rPr>
                <w:rFonts w:cstheme="minorHAnsi" w:hint="cs"/>
                <w:szCs w:val="22"/>
                <w:rtl/>
              </w:rPr>
              <w:t>7</w:t>
            </w:r>
            <w:r w:rsidRPr="00C5166C">
              <w:rPr>
                <w:rFonts w:cstheme="minorHAnsi"/>
                <w:szCs w:val="22"/>
              </w:rPr>
              <w:t xml:space="preserve">0% for quality of the proposal, and </w:t>
            </w:r>
            <w:r w:rsidRPr="00C5166C">
              <w:rPr>
                <w:rFonts w:cstheme="minorHAnsi" w:hint="cs"/>
                <w:szCs w:val="22"/>
                <w:rtl/>
              </w:rPr>
              <w:t>3</w:t>
            </w:r>
            <w:r w:rsidRPr="00C5166C">
              <w:rPr>
                <w:rFonts w:cstheme="minorHAnsi"/>
                <w:szCs w:val="22"/>
              </w:rPr>
              <w:t>0% for Price quote.</w:t>
            </w:r>
          </w:p>
        </w:tc>
      </w:tr>
      <w:tr w:rsidR="00A67AF9" w:rsidRPr="00C5166C" w14:paraId="029BDFB1" w14:textId="77777777" w:rsidTr="00935F3D">
        <w:tc>
          <w:tcPr>
            <w:tcW w:w="562" w:type="dxa"/>
          </w:tcPr>
          <w:p w14:paraId="34667CF2" w14:textId="77777777" w:rsidR="00A67AF9" w:rsidRPr="00C5166C" w:rsidRDefault="00A67AF9" w:rsidP="00A67AF9">
            <w:pPr>
              <w:bidi w:val="0"/>
              <w:spacing w:line="276" w:lineRule="auto"/>
              <w:jc w:val="both"/>
              <w:rPr>
                <w:rFonts w:cstheme="minorHAnsi"/>
                <w:szCs w:val="22"/>
              </w:rPr>
            </w:pPr>
            <w:r w:rsidRPr="00C5166C">
              <w:rPr>
                <w:rFonts w:cstheme="minorHAnsi"/>
                <w:szCs w:val="22"/>
              </w:rPr>
              <w:t>12</w:t>
            </w:r>
          </w:p>
        </w:tc>
        <w:tc>
          <w:tcPr>
            <w:tcW w:w="4678" w:type="dxa"/>
          </w:tcPr>
          <w:p w14:paraId="5AD4221C" w14:textId="77777777" w:rsidR="00A67AF9" w:rsidRPr="00C5166C" w:rsidRDefault="00A67AF9" w:rsidP="00A67AF9">
            <w:pPr>
              <w:tabs>
                <w:tab w:val="left" w:pos="8617"/>
              </w:tabs>
              <w:bidi w:val="0"/>
              <w:spacing w:line="276" w:lineRule="auto"/>
              <w:jc w:val="both"/>
              <w:rPr>
                <w:rFonts w:cstheme="minorHAnsi"/>
                <w:color w:val="000000"/>
                <w:szCs w:val="22"/>
              </w:rPr>
            </w:pPr>
            <w:r w:rsidRPr="00C5166C">
              <w:rPr>
                <w:rFonts w:cstheme="minorHAnsi"/>
                <w:szCs w:val="22"/>
              </w:rPr>
              <w:t xml:space="preserve">Do the </w:t>
            </w:r>
            <w:r w:rsidRPr="004C0CB5">
              <w:rPr>
                <w:rFonts w:cstheme="minorHAnsi"/>
                <w:szCs w:val="22"/>
              </w:rPr>
              <w:t>inability of ___ to meet the criteria in Section 1.2 preclude ___</w:t>
            </w:r>
            <w:r w:rsidRPr="00C5166C">
              <w:rPr>
                <w:rFonts w:cstheme="minorHAnsi"/>
                <w:szCs w:val="22"/>
              </w:rPr>
              <w:t xml:space="preserve"> from being considered for the Tender NO. 37/18, Consulting on Oil and Gas Policy and Regulation in Israel, March 2018?</w:t>
            </w:r>
          </w:p>
        </w:tc>
        <w:tc>
          <w:tcPr>
            <w:tcW w:w="1559" w:type="dxa"/>
          </w:tcPr>
          <w:p w14:paraId="172D6FFB" w14:textId="77777777" w:rsidR="00A67AF9" w:rsidRPr="00C5166C" w:rsidRDefault="00A67AF9" w:rsidP="00A67AF9">
            <w:pPr>
              <w:tabs>
                <w:tab w:val="left" w:pos="8617"/>
              </w:tabs>
              <w:bidi w:val="0"/>
              <w:spacing w:line="276" w:lineRule="auto"/>
              <w:jc w:val="both"/>
              <w:rPr>
                <w:rFonts w:cstheme="minorHAnsi"/>
                <w:color w:val="000000" w:themeColor="text1"/>
                <w:szCs w:val="22"/>
              </w:rPr>
            </w:pPr>
            <w:r w:rsidRPr="00C5166C">
              <w:rPr>
                <w:rFonts w:cstheme="minorHAnsi"/>
                <w:color w:val="000000" w:themeColor="text1"/>
                <w:szCs w:val="22"/>
              </w:rPr>
              <w:t xml:space="preserve">S. </w:t>
            </w:r>
            <w:r w:rsidRPr="00C5166C">
              <w:rPr>
                <w:rFonts w:cstheme="minorHAnsi"/>
                <w:color w:val="000000" w:themeColor="text1"/>
                <w:szCs w:val="22"/>
                <w:rtl/>
              </w:rPr>
              <w:t>1.2</w:t>
            </w:r>
            <w:r w:rsidRPr="00C5166C">
              <w:rPr>
                <w:rFonts w:cstheme="minorHAnsi"/>
                <w:color w:val="000000" w:themeColor="text1"/>
                <w:szCs w:val="22"/>
              </w:rPr>
              <w:t>.</w:t>
            </w:r>
          </w:p>
        </w:tc>
        <w:tc>
          <w:tcPr>
            <w:tcW w:w="4962" w:type="dxa"/>
          </w:tcPr>
          <w:p w14:paraId="452DA190" w14:textId="77777777" w:rsidR="00A67AF9" w:rsidRPr="00C5166C" w:rsidRDefault="00A67AF9" w:rsidP="00A67AF9">
            <w:pPr>
              <w:bidi w:val="0"/>
              <w:spacing w:line="276" w:lineRule="auto"/>
              <w:jc w:val="both"/>
              <w:rPr>
                <w:rFonts w:cstheme="minorHAnsi"/>
                <w:szCs w:val="22"/>
              </w:rPr>
            </w:pPr>
            <w:r w:rsidRPr="00C5166C">
              <w:rPr>
                <w:rFonts w:cstheme="minorHAnsi"/>
                <w:szCs w:val="22"/>
              </w:rPr>
              <w:t>In light of the complexity and scope of the Services, the Bidder must have the following minimum qualifications detailed at S. 1.2 of the Tender. Failure to satisfy one or more of the Prequalification Conditions will result in the disqualification of the bid.</w:t>
            </w:r>
          </w:p>
        </w:tc>
      </w:tr>
      <w:tr w:rsidR="00A67AF9" w:rsidRPr="00C5166C" w14:paraId="407D05AC" w14:textId="77777777" w:rsidTr="00935F3D">
        <w:tc>
          <w:tcPr>
            <w:tcW w:w="562" w:type="dxa"/>
          </w:tcPr>
          <w:p w14:paraId="30E13CA1" w14:textId="77777777" w:rsidR="00A67AF9" w:rsidRPr="00C5166C" w:rsidRDefault="00A67AF9" w:rsidP="00A67AF9">
            <w:pPr>
              <w:bidi w:val="0"/>
              <w:spacing w:line="276" w:lineRule="auto"/>
              <w:jc w:val="both"/>
              <w:rPr>
                <w:rFonts w:cstheme="minorHAnsi"/>
                <w:szCs w:val="22"/>
              </w:rPr>
            </w:pPr>
            <w:r w:rsidRPr="00C5166C">
              <w:rPr>
                <w:rFonts w:cstheme="minorHAnsi"/>
                <w:szCs w:val="22"/>
              </w:rPr>
              <w:t>13</w:t>
            </w:r>
          </w:p>
        </w:tc>
        <w:tc>
          <w:tcPr>
            <w:tcW w:w="4678" w:type="dxa"/>
          </w:tcPr>
          <w:p w14:paraId="4BDFB03A" w14:textId="77777777" w:rsidR="00A67AF9" w:rsidRPr="00C5166C" w:rsidRDefault="00A67AF9" w:rsidP="00A67AF9">
            <w:pPr>
              <w:tabs>
                <w:tab w:val="left" w:pos="8617"/>
              </w:tabs>
              <w:bidi w:val="0"/>
              <w:spacing w:line="276" w:lineRule="auto"/>
              <w:jc w:val="both"/>
              <w:rPr>
                <w:rFonts w:cstheme="minorHAnsi"/>
                <w:color w:val="000000"/>
                <w:szCs w:val="22"/>
              </w:rPr>
            </w:pPr>
            <w:r w:rsidRPr="004C0CB5">
              <w:rPr>
                <w:rFonts w:cstheme="minorHAnsi"/>
                <w:szCs w:val="22"/>
              </w:rPr>
              <w:t>Will ___  be disqualified for bidding our rates above 400 USD? Can ___ compete</w:t>
            </w:r>
            <w:r w:rsidRPr="00C5166C">
              <w:rPr>
                <w:rFonts w:cstheme="minorHAnsi"/>
                <w:szCs w:val="22"/>
              </w:rPr>
              <w:t xml:space="preserve"> for the Tender using an overall “not to exceed” budget</w:t>
            </w:r>
            <w:r w:rsidRPr="00C5166C">
              <w:rPr>
                <w:rFonts w:cstheme="minorHAnsi"/>
                <w:color w:val="000000"/>
                <w:szCs w:val="22"/>
              </w:rPr>
              <w:t xml:space="preserve"> </w:t>
            </w:r>
          </w:p>
        </w:tc>
        <w:tc>
          <w:tcPr>
            <w:tcW w:w="1559" w:type="dxa"/>
          </w:tcPr>
          <w:p w14:paraId="5F787357" w14:textId="77777777" w:rsidR="00A67AF9" w:rsidRPr="00C5166C" w:rsidRDefault="00A67AF9" w:rsidP="00A67AF9">
            <w:pPr>
              <w:tabs>
                <w:tab w:val="left" w:pos="8617"/>
              </w:tabs>
              <w:bidi w:val="0"/>
              <w:spacing w:line="276" w:lineRule="auto"/>
              <w:jc w:val="both"/>
              <w:rPr>
                <w:rFonts w:cstheme="minorHAnsi"/>
                <w:color w:val="000000" w:themeColor="text1"/>
                <w:szCs w:val="22"/>
                <w:rtl/>
              </w:rPr>
            </w:pPr>
            <w:r w:rsidRPr="00C5166C">
              <w:rPr>
                <w:rFonts w:cstheme="minorHAnsi"/>
                <w:color w:val="000000" w:themeColor="text1"/>
                <w:szCs w:val="22"/>
              </w:rPr>
              <w:t>S. 4.f.</w:t>
            </w:r>
          </w:p>
        </w:tc>
        <w:tc>
          <w:tcPr>
            <w:tcW w:w="4962" w:type="dxa"/>
          </w:tcPr>
          <w:p w14:paraId="2AEDBB61" w14:textId="77777777" w:rsidR="00A67AF9" w:rsidRPr="00C5166C" w:rsidRDefault="00A67AF9" w:rsidP="00A67AF9">
            <w:pPr>
              <w:bidi w:val="0"/>
              <w:spacing w:line="276" w:lineRule="auto"/>
              <w:jc w:val="both"/>
              <w:rPr>
                <w:rFonts w:cstheme="minorHAnsi"/>
                <w:szCs w:val="22"/>
              </w:rPr>
            </w:pPr>
            <w:r w:rsidRPr="00C5166C">
              <w:rPr>
                <w:rFonts w:cstheme="minorHAnsi"/>
                <w:szCs w:val="22"/>
              </w:rPr>
              <w:t xml:space="preserve">The Price Quote for 1 WH of an Expert will not exceed 400 USD. A Price Quote that does not meet this condition will be disqualified. </w:t>
            </w:r>
          </w:p>
          <w:p w14:paraId="7D3A4BDB" w14:textId="77777777" w:rsidR="00A67AF9" w:rsidRPr="00C5166C" w:rsidRDefault="00A67AF9" w:rsidP="00A67AF9">
            <w:pPr>
              <w:bidi w:val="0"/>
              <w:spacing w:line="276" w:lineRule="auto"/>
              <w:jc w:val="both"/>
              <w:rPr>
                <w:rFonts w:cstheme="minorHAnsi"/>
                <w:szCs w:val="22"/>
              </w:rPr>
            </w:pPr>
          </w:p>
        </w:tc>
      </w:tr>
    </w:tbl>
    <w:p w14:paraId="3BA5678A" w14:textId="77777777" w:rsidR="000423FB" w:rsidRPr="008B4D4C" w:rsidRDefault="000423FB" w:rsidP="00A67AF9">
      <w:pPr>
        <w:bidi w:val="0"/>
        <w:spacing w:line="276" w:lineRule="auto"/>
        <w:ind w:left="-426"/>
        <w:jc w:val="right"/>
        <w:rPr>
          <w:szCs w:val="22"/>
        </w:rPr>
      </w:pPr>
    </w:p>
    <w:sectPr w:rsidR="000423FB" w:rsidRPr="008B4D4C" w:rsidSect="00A67AF9">
      <w:headerReference w:type="even" r:id="rId11"/>
      <w:headerReference w:type="default" r:id="rId12"/>
      <w:headerReference w:type="first" r:id="rId13"/>
      <w:footerReference w:type="first" r:id="rId14"/>
      <w:pgSz w:w="16838" w:h="11906" w:orient="landscape"/>
      <w:pgMar w:top="1800" w:right="1440" w:bottom="1274" w:left="1440" w:header="720" w:footer="851" w:gutter="0"/>
      <w:cols w:space="720"/>
      <w:titlePg/>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B9724A" w14:textId="77777777" w:rsidR="00E42E9C" w:rsidRDefault="00E42E9C">
      <w:r>
        <w:separator/>
      </w:r>
    </w:p>
  </w:endnote>
  <w:endnote w:type="continuationSeparator" w:id="0">
    <w:p w14:paraId="6F16D32D" w14:textId="77777777" w:rsidR="00E42E9C" w:rsidRDefault="00E42E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33DDC3" w14:textId="6554001B" w:rsidR="009B4474" w:rsidRDefault="00A2110C" w:rsidP="009B4474">
    <w:pPr>
      <w:tabs>
        <w:tab w:val="center" w:pos="4416"/>
      </w:tabs>
      <w:bidi w:val="0"/>
      <w:spacing w:line="276" w:lineRule="auto"/>
      <w:rPr>
        <w:szCs w:val="22"/>
      </w:rPr>
    </w:pPr>
    <w:r w:rsidRPr="00A2110C">
      <w:rPr>
        <w:noProof/>
        <w:szCs w:val="22"/>
      </w:rPr>
      <w:t>E. S. Artom St., POB. 36148, Jerusalem 9136002. Tel: 972-2-5316131, Fax: 972-2-5316147</w:t>
    </w:r>
  </w:p>
  <w:p w14:paraId="3BA56799" w14:textId="47CF30AB" w:rsidR="00C91FA4" w:rsidRPr="00685365" w:rsidRDefault="00C91FA4" w:rsidP="009B4474">
    <w:pPr>
      <w:bidi w:val="0"/>
      <w:spacing w:line="276" w:lineRule="auto"/>
      <w:jc w:val="center"/>
      <w:rPr>
        <w:szCs w:val="22"/>
      </w:rPr>
    </w:pPr>
    <w:r w:rsidRPr="00685365">
      <w:rPr>
        <w:szCs w:val="22"/>
      </w:rPr>
      <w:t xml:space="preserve">Internet Address: </w:t>
    </w:r>
    <w:hyperlink r:id="rId1" w:history="1">
      <w:r w:rsidR="00D2092D" w:rsidRPr="00685365">
        <w:rPr>
          <w:rStyle w:val="Hyperlink"/>
          <w:szCs w:val="22"/>
        </w:rPr>
        <w:t>www.energy.gov.il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E74621" w14:textId="77777777" w:rsidR="00E42E9C" w:rsidRDefault="00E42E9C">
      <w:r>
        <w:separator/>
      </w:r>
    </w:p>
  </w:footnote>
  <w:footnote w:type="continuationSeparator" w:id="0">
    <w:p w14:paraId="3AE33F54" w14:textId="77777777" w:rsidR="00E42E9C" w:rsidRDefault="00E42E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5678F" w14:textId="77777777" w:rsidR="00C91FA4" w:rsidRDefault="008938F7">
    <w:pPr>
      <w:pStyle w:val="a3"/>
      <w:framePr w:wrap="around" w:vAnchor="text" w:hAnchor="margin" w:xAlign="center" w:y="1"/>
      <w:rPr>
        <w:rStyle w:val="a6"/>
        <w:rtl/>
      </w:rPr>
    </w:pPr>
    <w:r>
      <w:rPr>
        <w:rStyle w:val="a6"/>
        <w:rtl/>
      </w:rPr>
      <w:fldChar w:fldCharType="begin"/>
    </w:r>
    <w:r w:rsidR="00C91FA4">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56790" w14:textId="46C91F69" w:rsidR="00C91FA4" w:rsidRPr="00D3749A" w:rsidRDefault="00C91FA4" w:rsidP="00D3749A">
    <w:pPr>
      <w:pStyle w:val="a3"/>
      <w:jc w:val="center"/>
      <w:rPr>
        <w:b w:val="0"/>
        <w:bCs w:val="0"/>
      </w:rPr>
    </w:pPr>
    <w:r w:rsidRPr="00D3749A">
      <w:rPr>
        <w:rtl/>
      </w:rPr>
      <w:t xml:space="preserve">- </w:t>
    </w:r>
    <w:r w:rsidR="008938F7" w:rsidRPr="00D3749A">
      <w:rPr>
        <w:b w:val="0"/>
        <w:bCs w:val="0"/>
      </w:rPr>
      <w:fldChar w:fldCharType="begin"/>
    </w:r>
    <w:r w:rsidRPr="00D3749A">
      <w:instrText xml:space="preserve"> PAGE   \* MERGEFORMAT </w:instrText>
    </w:r>
    <w:r w:rsidR="008938F7" w:rsidRPr="00D3749A">
      <w:rPr>
        <w:b w:val="0"/>
        <w:bCs w:val="0"/>
      </w:rPr>
      <w:fldChar w:fldCharType="separate"/>
    </w:r>
    <w:r w:rsidR="0049586F" w:rsidRPr="0049586F">
      <w:rPr>
        <w:rFonts w:cs="Calibri"/>
        <w:noProof/>
        <w:rtl/>
        <w:lang w:val="he-IL"/>
      </w:rPr>
      <w:t>3</w:t>
    </w:r>
    <w:r w:rsidR="008938F7" w:rsidRPr="00D3749A">
      <w:rPr>
        <w:b w:val="0"/>
        <w:bCs w:val="0"/>
      </w:rPr>
      <w:fldChar w:fldCharType="end"/>
    </w:r>
    <w:r w:rsidRPr="00D3749A">
      <w:rPr>
        <w:rFonts w:hint="cs"/>
        <w:rtl/>
      </w:rPr>
      <w:t xml:space="preserve"> -</w:t>
    </w:r>
  </w:p>
  <w:p w14:paraId="3BA56791" w14:textId="77777777" w:rsidR="00C91FA4" w:rsidRPr="008B766D" w:rsidRDefault="00C91FA4" w:rsidP="00C80CDB">
    <w:pPr>
      <w:pStyle w:val="a3"/>
      <w:jc w:val="center"/>
      <w:rPr>
        <w:b w:val="0"/>
        <w:bCs w:val="0"/>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56794" w14:textId="77777777" w:rsidR="006A2EFA" w:rsidRDefault="00E42E9C" w:rsidP="009F4642">
    <w:pPr>
      <w:pStyle w:val="a3"/>
      <w:bidi w:val="0"/>
      <w:jc w:val="center"/>
      <w:rPr>
        <w:b w:val="0"/>
        <w:bCs w:val="0"/>
        <w:noProof/>
        <w:sz w:val="32"/>
        <w:szCs w:val="32"/>
      </w:rPr>
    </w:pPr>
    <w:r>
      <w:rPr>
        <w:b w:val="0"/>
        <w:bCs w:val="0"/>
        <w:noProof/>
        <w:sz w:val="32"/>
        <w:szCs w:val="32"/>
      </w:rPr>
      <w:object w:dxaOrig="1440" w:dyaOrig="1440" w14:anchorId="3BA567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3.65pt;margin-top:-17.2pt;width:41.8pt;height:49.4pt;z-index:251658752;visibility:visible;mso-wrap-edited:f">
          <v:imagedata r:id="rId1" o:title=""/>
          <w10:wrap type="topAndBottom"/>
        </v:shape>
        <o:OLEObject Type="Embed" ProgID="Word.Picture.8" ShapeID="_x0000_s2049" DrawAspect="Content" ObjectID="_1587209155" r:id="rId2"/>
      </w:object>
    </w:r>
  </w:p>
  <w:p w14:paraId="3BA56795" w14:textId="77777777" w:rsidR="00C91FA4" w:rsidRPr="00A67AF9" w:rsidRDefault="00C91FA4" w:rsidP="00685365">
    <w:pPr>
      <w:pStyle w:val="a3"/>
      <w:bidi w:val="0"/>
      <w:spacing w:line="276" w:lineRule="auto"/>
      <w:jc w:val="center"/>
      <w:rPr>
        <w:rFonts w:asciiTheme="majorBidi" w:hAnsiTheme="majorBidi" w:cstheme="majorBidi"/>
        <w:b w:val="0"/>
        <w:bCs w:val="0"/>
        <w:sz w:val="32"/>
        <w:szCs w:val="32"/>
      </w:rPr>
    </w:pPr>
    <w:r w:rsidRPr="00A67AF9">
      <w:rPr>
        <w:rFonts w:asciiTheme="majorBidi" w:hAnsiTheme="majorBidi" w:cstheme="majorBidi"/>
        <w:noProof/>
        <w:sz w:val="32"/>
        <w:szCs w:val="32"/>
      </w:rPr>
      <w:t>State of Israel</w:t>
    </w:r>
  </w:p>
  <w:p w14:paraId="6AEE016A" w14:textId="77777777" w:rsidR="00A67AF9" w:rsidRDefault="006A2EFA" w:rsidP="000E3EB1">
    <w:pPr>
      <w:pStyle w:val="a3"/>
      <w:bidi w:val="0"/>
      <w:spacing w:line="276" w:lineRule="auto"/>
      <w:jc w:val="center"/>
      <w:rPr>
        <w:rFonts w:asciiTheme="majorBidi" w:hAnsiTheme="majorBidi" w:cstheme="majorBidi"/>
        <w:sz w:val="32"/>
        <w:szCs w:val="32"/>
      </w:rPr>
    </w:pPr>
    <w:r w:rsidRPr="00A67AF9">
      <w:rPr>
        <w:rFonts w:asciiTheme="majorBidi" w:hAnsiTheme="majorBidi" w:cstheme="majorBidi"/>
        <w:sz w:val="32"/>
        <w:szCs w:val="32"/>
      </w:rPr>
      <w:t>Ministry of Energy</w:t>
    </w:r>
  </w:p>
  <w:p w14:paraId="3BA56796" w14:textId="6DF4FF2B" w:rsidR="000E3EB1" w:rsidRPr="00A67AF9" w:rsidRDefault="006A2EFA" w:rsidP="00A67AF9">
    <w:pPr>
      <w:pStyle w:val="a3"/>
      <w:bidi w:val="0"/>
      <w:spacing w:line="276" w:lineRule="auto"/>
      <w:jc w:val="center"/>
      <w:rPr>
        <w:rFonts w:asciiTheme="majorBidi" w:hAnsiTheme="majorBidi" w:cstheme="majorBidi"/>
        <w:b w:val="0"/>
        <w:bCs w:val="0"/>
        <w:sz w:val="32"/>
        <w:szCs w:val="32"/>
      </w:rPr>
    </w:pPr>
    <w:r w:rsidRPr="00A67AF9">
      <w:rPr>
        <w:rFonts w:asciiTheme="majorBidi" w:hAnsiTheme="majorBidi" w:cstheme="majorBidi"/>
        <w:sz w:val="32"/>
        <w:szCs w:val="32"/>
      </w:rPr>
      <w:t xml:space="preserve"> </w:t>
    </w:r>
  </w:p>
  <w:p w14:paraId="0487EF53" w14:textId="77777777" w:rsidR="00A67AF9" w:rsidRPr="00A67AF9" w:rsidRDefault="00A67AF9" w:rsidP="00A67AF9">
    <w:pPr>
      <w:bidi w:val="0"/>
      <w:spacing w:line="240" w:lineRule="auto"/>
      <w:rPr>
        <w:rFonts w:asciiTheme="majorBidi" w:hAnsiTheme="majorBidi" w:cstheme="majorBidi"/>
        <w:sz w:val="24"/>
      </w:rPr>
    </w:pPr>
    <w:r w:rsidRPr="00A67AF9">
      <w:rPr>
        <w:rFonts w:asciiTheme="majorBidi" w:hAnsiTheme="majorBidi" w:cstheme="majorBidi"/>
        <w:sz w:val="26"/>
      </w:rPr>
      <w:t xml:space="preserve">Tender No. </w:t>
    </w:r>
    <w:r w:rsidRPr="00A67AF9">
      <w:rPr>
        <w:rFonts w:asciiTheme="majorBidi" w:hAnsiTheme="majorBidi" w:cstheme="majorBidi"/>
        <w:sz w:val="26"/>
        <w:rtl/>
      </w:rPr>
      <w:t>37</w:t>
    </w:r>
    <w:r w:rsidRPr="00A67AF9">
      <w:rPr>
        <w:rFonts w:asciiTheme="majorBidi" w:hAnsiTheme="majorBidi" w:cstheme="majorBidi"/>
        <w:sz w:val="26"/>
      </w:rPr>
      <w:t>/18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8F003A1"/>
    <w:multiLevelType w:val="hybridMultilevel"/>
    <w:tmpl w:val="D90060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8DF5147"/>
    <w:multiLevelType w:val="hybridMultilevel"/>
    <w:tmpl w:val="E9F2855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2"/>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ctiveWritingStyle w:appName="MSWord" w:lang="ru-RU"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423FB"/>
    <w:rsid w:val="00055768"/>
    <w:rsid w:val="00064800"/>
    <w:rsid w:val="000705A8"/>
    <w:rsid w:val="00072E91"/>
    <w:rsid w:val="000744F2"/>
    <w:rsid w:val="0009042F"/>
    <w:rsid w:val="0009109A"/>
    <w:rsid w:val="000A474B"/>
    <w:rsid w:val="000B39C3"/>
    <w:rsid w:val="000C47C5"/>
    <w:rsid w:val="000E1EC0"/>
    <w:rsid w:val="000E3EB1"/>
    <w:rsid w:val="000F0C8E"/>
    <w:rsid w:val="001179D0"/>
    <w:rsid w:val="00131922"/>
    <w:rsid w:val="00144716"/>
    <w:rsid w:val="001617C9"/>
    <w:rsid w:val="00171B81"/>
    <w:rsid w:val="001858F8"/>
    <w:rsid w:val="0019139B"/>
    <w:rsid w:val="001A0FEB"/>
    <w:rsid w:val="001A2142"/>
    <w:rsid w:val="001B2F89"/>
    <w:rsid w:val="001E1CF6"/>
    <w:rsid w:val="001E458A"/>
    <w:rsid w:val="001E6F0E"/>
    <w:rsid w:val="00222968"/>
    <w:rsid w:val="00223E43"/>
    <w:rsid w:val="0022754A"/>
    <w:rsid w:val="00236073"/>
    <w:rsid w:val="00251700"/>
    <w:rsid w:val="0026403C"/>
    <w:rsid w:val="002B019A"/>
    <w:rsid w:val="002C1AAF"/>
    <w:rsid w:val="002D3504"/>
    <w:rsid w:val="003031B5"/>
    <w:rsid w:val="00311B81"/>
    <w:rsid w:val="00312259"/>
    <w:rsid w:val="00321798"/>
    <w:rsid w:val="00321AF2"/>
    <w:rsid w:val="00340E66"/>
    <w:rsid w:val="00341A11"/>
    <w:rsid w:val="00396B47"/>
    <w:rsid w:val="003A30BD"/>
    <w:rsid w:val="003C52BA"/>
    <w:rsid w:val="003D1BE0"/>
    <w:rsid w:val="003E4C42"/>
    <w:rsid w:val="003F2068"/>
    <w:rsid w:val="003F4EE4"/>
    <w:rsid w:val="0040462F"/>
    <w:rsid w:val="00445204"/>
    <w:rsid w:val="004507AE"/>
    <w:rsid w:val="0045315D"/>
    <w:rsid w:val="00457790"/>
    <w:rsid w:val="00463F58"/>
    <w:rsid w:val="0047091B"/>
    <w:rsid w:val="004947E3"/>
    <w:rsid w:val="0049586F"/>
    <w:rsid w:val="004B49E7"/>
    <w:rsid w:val="004B5ED3"/>
    <w:rsid w:val="004C07B6"/>
    <w:rsid w:val="004D232E"/>
    <w:rsid w:val="004E4F88"/>
    <w:rsid w:val="005044C1"/>
    <w:rsid w:val="00524880"/>
    <w:rsid w:val="005251BC"/>
    <w:rsid w:val="00533FCA"/>
    <w:rsid w:val="0054114E"/>
    <w:rsid w:val="0054428A"/>
    <w:rsid w:val="00572795"/>
    <w:rsid w:val="00574A81"/>
    <w:rsid w:val="005779E5"/>
    <w:rsid w:val="00581672"/>
    <w:rsid w:val="00591B94"/>
    <w:rsid w:val="005A0DC2"/>
    <w:rsid w:val="005D5135"/>
    <w:rsid w:val="005D6A0B"/>
    <w:rsid w:val="005E22F3"/>
    <w:rsid w:val="005E5E77"/>
    <w:rsid w:val="00610303"/>
    <w:rsid w:val="00624679"/>
    <w:rsid w:val="006426A9"/>
    <w:rsid w:val="006500F2"/>
    <w:rsid w:val="0065158E"/>
    <w:rsid w:val="00656D5C"/>
    <w:rsid w:val="00685365"/>
    <w:rsid w:val="006A2EFA"/>
    <w:rsid w:val="006B7F74"/>
    <w:rsid w:val="006C2C32"/>
    <w:rsid w:val="006C7656"/>
    <w:rsid w:val="006D1D4C"/>
    <w:rsid w:val="006E72C5"/>
    <w:rsid w:val="006F0C31"/>
    <w:rsid w:val="00712673"/>
    <w:rsid w:val="0071514A"/>
    <w:rsid w:val="00721721"/>
    <w:rsid w:val="00740D98"/>
    <w:rsid w:val="00743CBD"/>
    <w:rsid w:val="007561C5"/>
    <w:rsid w:val="00761394"/>
    <w:rsid w:val="00771F8F"/>
    <w:rsid w:val="007849A9"/>
    <w:rsid w:val="0078568E"/>
    <w:rsid w:val="007A76DF"/>
    <w:rsid w:val="007C491A"/>
    <w:rsid w:val="007C72FE"/>
    <w:rsid w:val="00802BA6"/>
    <w:rsid w:val="00811390"/>
    <w:rsid w:val="00816ED6"/>
    <w:rsid w:val="00817153"/>
    <w:rsid w:val="008215F5"/>
    <w:rsid w:val="00824DD5"/>
    <w:rsid w:val="00831FA8"/>
    <w:rsid w:val="008452D6"/>
    <w:rsid w:val="00861DDB"/>
    <w:rsid w:val="008675F8"/>
    <w:rsid w:val="0088415D"/>
    <w:rsid w:val="008938F7"/>
    <w:rsid w:val="008A0698"/>
    <w:rsid w:val="008B4D4C"/>
    <w:rsid w:val="008B6685"/>
    <w:rsid w:val="008B6D3F"/>
    <w:rsid w:val="008B766D"/>
    <w:rsid w:val="008C2B14"/>
    <w:rsid w:val="008C3408"/>
    <w:rsid w:val="008D2654"/>
    <w:rsid w:val="008E3BBC"/>
    <w:rsid w:val="008E4B3F"/>
    <w:rsid w:val="008F164D"/>
    <w:rsid w:val="00900B65"/>
    <w:rsid w:val="00901041"/>
    <w:rsid w:val="00911C83"/>
    <w:rsid w:val="009167E3"/>
    <w:rsid w:val="00924837"/>
    <w:rsid w:val="00941814"/>
    <w:rsid w:val="00941EEA"/>
    <w:rsid w:val="00956911"/>
    <w:rsid w:val="00964B15"/>
    <w:rsid w:val="00974A41"/>
    <w:rsid w:val="009B4474"/>
    <w:rsid w:val="009B4DAB"/>
    <w:rsid w:val="009C1E95"/>
    <w:rsid w:val="009F08C6"/>
    <w:rsid w:val="009F15A0"/>
    <w:rsid w:val="009F25EB"/>
    <w:rsid w:val="009F4642"/>
    <w:rsid w:val="00A0165F"/>
    <w:rsid w:val="00A07731"/>
    <w:rsid w:val="00A107E7"/>
    <w:rsid w:val="00A2110C"/>
    <w:rsid w:val="00A442F7"/>
    <w:rsid w:val="00A4784C"/>
    <w:rsid w:val="00A63F7A"/>
    <w:rsid w:val="00A67AF9"/>
    <w:rsid w:val="00A94E1B"/>
    <w:rsid w:val="00A96C51"/>
    <w:rsid w:val="00A977B7"/>
    <w:rsid w:val="00AB7E02"/>
    <w:rsid w:val="00AC26B3"/>
    <w:rsid w:val="00AD6F36"/>
    <w:rsid w:val="00AE59BD"/>
    <w:rsid w:val="00AE72C8"/>
    <w:rsid w:val="00AF211F"/>
    <w:rsid w:val="00B1246E"/>
    <w:rsid w:val="00B15F6B"/>
    <w:rsid w:val="00B2533E"/>
    <w:rsid w:val="00B300E0"/>
    <w:rsid w:val="00B53346"/>
    <w:rsid w:val="00B73416"/>
    <w:rsid w:val="00B84AFE"/>
    <w:rsid w:val="00B84B35"/>
    <w:rsid w:val="00BC7ABD"/>
    <w:rsid w:val="00BD04A5"/>
    <w:rsid w:val="00C14372"/>
    <w:rsid w:val="00C14ED4"/>
    <w:rsid w:val="00C15681"/>
    <w:rsid w:val="00C15D4C"/>
    <w:rsid w:val="00C207E1"/>
    <w:rsid w:val="00C33B51"/>
    <w:rsid w:val="00C37BC8"/>
    <w:rsid w:val="00C5046C"/>
    <w:rsid w:val="00C516A1"/>
    <w:rsid w:val="00C54B87"/>
    <w:rsid w:val="00C668B6"/>
    <w:rsid w:val="00C80AD2"/>
    <w:rsid w:val="00C80CDB"/>
    <w:rsid w:val="00C918E7"/>
    <w:rsid w:val="00C91F7F"/>
    <w:rsid w:val="00C91FA4"/>
    <w:rsid w:val="00C974A9"/>
    <w:rsid w:val="00CA2BA0"/>
    <w:rsid w:val="00CA7444"/>
    <w:rsid w:val="00CB33E5"/>
    <w:rsid w:val="00D2092D"/>
    <w:rsid w:val="00D2513A"/>
    <w:rsid w:val="00D35E0D"/>
    <w:rsid w:val="00D3749A"/>
    <w:rsid w:val="00D37641"/>
    <w:rsid w:val="00D54E3A"/>
    <w:rsid w:val="00D732B0"/>
    <w:rsid w:val="00DD792B"/>
    <w:rsid w:val="00DE05FC"/>
    <w:rsid w:val="00DE140C"/>
    <w:rsid w:val="00E001A4"/>
    <w:rsid w:val="00E12FE5"/>
    <w:rsid w:val="00E42E9C"/>
    <w:rsid w:val="00E446AB"/>
    <w:rsid w:val="00E707E9"/>
    <w:rsid w:val="00E807B0"/>
    <w:rsid w:val="00E82BC3"/>
    <w:rsid w:val="00E90583"/>
    <w:rsid w:val="00EA0A90"/>
    <w:rsid w:val="00EA4FBF"/>
    <w:rsid w:val="00EB319A"/>
    <w:rsid w:val="00EC6CEF"/>
    <w:rsid w:val="00ED37B2"/>
    <w:rsid w:val="00F076B3"/>
    <w:rsid w:val="00F14C94"/>
    <w:rsid w:val="00F41F84"/>
    <w:rsid w:val="00F42907"/>
    <w:rsid w:val="00F5586C"/>
    <w:rsid w:val="00F63432"/>
    <w:rsid w:val="00F64694"/>
    <w:rsid w:val="00F84FA6"/>
    <w:rsid w:val="00F96CCA"/>
    <w:rsid w:val="00FB783D"/>
    <w:rsid w:val="00FC5DE0"/>
    <w:rsid w:val="00FE5DF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BA56784"/>
  <w15:docId w15:val="{A84E1B82-AE74-41E4-8FF6-7501DFE2B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David"/>
        <w:b/>
        <w:bCs/>
        <w:sz w:val="22"/>
        <w:szCs w:val="22"/>
        <w:lang w:val="en-US" w:eastAsia="en-US" w:bidi="he-IL"/>
      </w:rPr>
    </w:rPrDefault>
    <w:pPrDefault>
      <w:pPr>
        <w:spacing w:line="276"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spacing w:line="360" w:lineRule="auto"/>
    </w:pPr>
    <w:rPr>
      <w:szCs w:val="26"/>
    </w:rPr>
  </w:style>
  <w:style w:type="paragraph" w:styleId="1">
    <w:name w:val="heading 1"/>
    <w:basedOn w:val="a"/>
    <w:next w:val="a"/>
    <w:qFormat/>
    <w:rsid w:val="002D3504"/>
    <w:pPr>
      <w:keepNext/>
      <w:jc w:val="right"/>
      <w:outlineLvl w:val="0"/>
    </w:pPr>
  </w:style>
  <w:style w:type="paragraph" w:styleId="2">
    <w:name w:val="heading 2"/>
    <w:basedOn w:val="a"/>
    <w:next w:val="a"/>
    <w:qFormat/>
    <w:rsid w:val="002D3504"/>
    <w:pPr>
      <w:keepNext/>
      <w:jc w:val="both"/>
      <w:outlineLvl w:val="1"/>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aliases w:val="טקסט טבלה תחתונה"/>
    <w:basedOn w:val="a1"/>
    <w:uiPriority w:val="59"/>
    <w:rsid w:val="00A67AF9"/>
    <w:pPr>
      <w:spacing w:line="240" w:lineRule="auto"/>
    </w:pPr>
    <w:rPr>
      <w:rFonts w:eastAsiaTheme="minorHAnsi" w:cstheme="minorBidi"/>
      <w:b w:val="0"/>
      <w:bCs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listparagraph">
    <w:name w:val="x_xmsolistparagraph"/>
    <w:basedOn w:val="a"/>
    <w:rsid w:val="00A67AF9"/>
    <w:pPr>
      <w:bidi w:val="0"/>
      <w:spacing w:before="100" w:beforeAutospacing="1" w:after="100" w:afterAutospacing="1" w:line="240" w:lineRule="auto"/>
    </w:pPr>
    <w:rPr>
      <w:rFonts w:ascii="Times New Roman" w:hAnsi="Times New Roman" w:cs="Times New Roman"/>
      <w:b w:val="0"/>
      <w:bCs w:val="0"/>
      <w:sz w:val="24"/>
      <w:szCs w:val="24"/>
      <w:lang w:val="ru-RU" w:eastAsia="ru-RU" w:bidi="ar-SA"/>
    </w:rPr>
  </w:style>
  <w:style w:type="character" w:styleId="ac">
    <w:name w:val="annotation reference"/>
    <w:basedOn w:val="a0"/>
    <w:uiPriority w:val="99"/>
    <w:semiHidden/>
    <w:unhideWhenUsed/>
    <w:rsid w:val="00A67AF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nergy.gov.il" TargetMode="External"/></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8ED30EB7DAE456F84756D61516B5997"/>
        <w:category>
          <w:name w:val="כללי"/>
          <w:gallery w:val="placeholder"/>
        </w:category>
        <w:types>
          <w:type w:val="bbPlcHdr"/>
        </w:types>
        <w:behaviors>
          <w:behavior w:val="content"/>
        </w:behaviors>
        <w:guid w:val="{5F7EDF9A-85DA-466D-8B1B-A2E4304AA7D3}"/>
      </w:docPartPr>
      <w:docPartBody>
        <w:p w:rsidR="00D076CB" w:rsidRDefault="00391F80" w:rsidP="00391F80">
          <w:pPr>
            <w:pStyle w:val="D8ED30EB7DAE456F84756D61516B5997"/>
          </w:pPr>
          <w:r w:rsidRPr="00F44FA6">
            <w:rPr>
              <w:rStyle w:val="a3"/>
              <w:rFonts w:hint="eastAsia"/>
              <w:rtl/>
            </w:rPr>
            <w:t>[תאריך</w:t>
          </w:r>
          <w:r w:rsidRPr="00F44FA6">
            <w:rPr>
              <w:rStyle w:val="a3"/>
              <w:rtl/>
            </w:rPr>
            <w:t xml:space="preserve"> </w:t>
          </w:r>
          <w:r w:rsidRPr="00F44FA6">
            <w:rPr>
              <w:rStyle w:val="a3"/>
              <w:rFonts w:hint="eastAsia"/>
              <w:rtl/>
            </w:rPr>
            <w:t>יצירת</w:t>
          </w:r>
          <w:r w:rsidRPr="00F44FA6">
            <w:rPr>
              <w:rStyle w:val="a3"/>
              <w:rtl/>
            </w:rPr>
            <w:t xml:space="preserve"> </w:t>
          </w:r>
          <w:r w:rsidRPr="00F44FA6">
            <w:rPr>
              <w:rStyle w:val="a3"/>
              <w:rFonts w:hint="eastAsia"/>
              <w:rtl/>
            </w:rPr>
            <w:t>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D745EF"/>
    <w:rsid w:val="00391F80"/>
    <w:rsid w:val="00802950"/>
    <w:rsid w:val="00AA0C75"/>
    <w:rsid w:val="00C82051"/>
    <w:rsid w:val="00CF6DDF"/>
    <w:rsid w:val="00D076CB"/>
    <w:rsid w:val="00D745E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D277E0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0C7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91F80"/>
    <w:rPr>
      <w:color w:val="808080"/>
    </w:rPr>
  </w:style>
  <w:style w:type="paragraph" w:customStyle="1" w:styleId="B04214AB3EFB4514996381202EEC96C8">
    <w:name w:val="B04214AB3EFB4514996381202EEC96C8"/>
    <w:rsid w:val="00391F80"/>
    <w:pPr>
      <w:bidi/>
      <w:spacing w:after="0" w:line="360" w:lineRule="auto"/>
    </w:pPr>
    <w:rPr>
      <w:rFonts w:eastAsia="Times New Roman" w:cs="David"/>
      <w:b/>
      <w:bCs/>
      <w:szCs w:val="26"/>
    </w:rPr>
  </w:style>
  <w:style w:type="paragraph" w:customStyle="1" w:styleId="09DB9FA3A3E54E1FAC5AF641569272E3">
    <w:name w:val="09DB9FA3A3E54E1FAC5AF641569272E3"/>
    <w:rsid w:val="00391F80"/>
    <w:pPr>
      <w:bidi/>
    </w:pPr>
  </w:style>
  <w:style w:type="paragraph" w:customStyle="1" w:styleId="D8ED30EB7DAE456F84756D61516B5997">
    <w:name w:val="D8ED30EB7DAE456F84756D61516B5997"/>
    <w:rsid w:val="00391F80"/>
    <w:pPr>
      <w:bidi/>
    </w:pPr>
  </w:style>
  <w:style w:type="paragraph" w:customStyle="1" w:styleId="3B1F13B5A2544424967908A5228B36D9">
    <w:name w:val="3B1F13B5A2544424967908A5228B36D9"/>
    <w:rsid w:val="00391F8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אלעד גולן</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SignerWorkPhone xmlns="8f5b83e0-a1d3-486c-bd07-833a425c74af">02-5316130</SignerWorkPhone>
    <CounterString xmlns="8f5b83e0-a1d3-486c-bd07-833a425c74af">706</CounterString>
    <AdditionalReaders xmlns="8f5b83e0-a1d3-486c-bd07-833a425c74af">s-1-5-21-751151982-1351359263-2670605570-2574</AdditionalReaders>
    <PreviousAdditionalEditors xmlns="8f5b83e0-a1d3-486c-bd07-833a425c74af" xsi:nil="true"/>
    <SetDepartmentPermission xmlns="8f5b83e0-a1d3-486c-bd07-833a425c74af">0</SetDepartmentPermission>
    <AdditionalEditors xmlns="8f5b83e0-a1d3-486c-bd07-833a425c74af" xsi:nil="true"/>
    <SignerJobTitle xmlns="8f5b83e0-a1d3-486c-bd07-833a425c74af">מנהל תחום רגולציה</SignerJobTitle>
    <SignerDepartment xmlns="8f5b83e0-a1d3-486c-bd07-833a425c74af">מינהל אוצרות טבע</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06 במאי 2018</DocumentCreateDateEnglish>
    <DocumentCreateDateHebrew xmlns="8f5b83e0-a1d3-486c-bd07-833a425c74af">כ"א באייר התשע"ח</DocumentCreateDateHebrew>
    <SignerEmail xmlns="8f5b83e0-a1d3-486c-bd07-833a425c74af">eladg@energy.gov.il</SignerEmail>
    <FullNameTO xmlns="8f5b83e0-a1d3-486c-bd07-833a425c74af">.</FullNameTO>
    <SignerWorkFax xmlns="8f5b83e0-a1d3-486c-bd07-833a425c74af">152-506206340</SignerWorkFax>
    <LastCheckOutUser xmlns="8f5b83e0-a1d3-486c-bd07-833a425c74af">אלעד גולן</LastCheckOutUser>
    <SubjectDocument xmlns="8f5b83e0-a1d3-486c-bd07-833a425c74af">Tender NO. 37/18 Q&amp;A</SubjectDocument>
    <WriterName xmlns="8f5b83e0-a1d3-486c-bd07-833a425c74af">אלעד גולן</WriterName>
    <DocumentLibraryName xmlns="8f5b83e0-a1d3-486c-bd07-833a425c74af">נפט וגז</DocumentLibraryName>
    <PreviousAdditionalReaders xmlns="8f5b83e0-a1d3-486c-bd07-833a425c74af">s-1-5-21-751151982-1351359263-2670605570-2574</PreviousAdditionalReaders>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WORD</DocumentWorkInstrument>
    <LastCheckOutDate xmlns="8f5b83e0-a1d3-486c-bd07-833a425c74af">06/05/2018 11:53;02</LastCheckOutDate>
    <RecipientsMailCC xmlns="8f5b83e0-a1d3-486c-bd07-833a425c74af" xsi:nil="true"/>
    <DocumentWordTemplate xmlns="8f5b83e0-a1d3-486c-bd07-833a425c74af">אנגלית-נפט</DocumentWordTemplate>
    <CurrentDocumentStatus xmlns="8f5b83e0-a1d3-486c-bd07-833a425c74af">טיוטה</CurrentDocumentStatus>
    <LastCheckInDate xmlns="8f5b83e0-a1d3-486c-bd07-833a425c74af">06/05/2018 11:52;54</LastCheckInDate>
    <DocumentCounter xmlns="8f5b83e0-a1d3-486c-bd07-833a425c74af">נפט_706_2018</DocumentCounter>
    <LastPublishUser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2018-05-07T00:00:00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אנגלית-נפט" ma:contentTypeID="0x0101003CBAFB7F4A7FF54FB9D64543F2EA55D23100A4A53BCB0621864FB9BD3D22328B8665" ma:contentTypeVersion="128" ma:contentTypeDescription="" ma:contentTypeScope="" ma:versionID="8fdec14367b7ce42d132eb2659687313">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75B0C-5527-4820-8045-52854E9CA199}">
  <ds:schemaRefs>
    <ds:schemaRef ds:uri="http://schemas.microsoft.com/office/2006/metadata/customXsn"/>
  </ds:schemaRefs>
</ds:datastoreItem>
</file>

<file path=customXml/itemProps2.xml><?xml version="1.0" encoding="utf-8"?>
<ds:datastoreItem xmlns:ds="http://schemas.openxmlformats.org/officeDocument/2006/customXml" ds:itemID="{0128DAA8-C350-4878-A4D9-2589077B70B6}">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11C91330-73B5-45DE-8AA6-4DB0945C4A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A998EA-744B-4E4D-8486-697CBB6577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1421</Words>
  <Characters>7105</Characters>
  <Application>Microsoft Office Word</Application>
  <DocSecurity>0</DocSecurity>
  <Lines>59</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8509</CharactersWithSpaces>
  <SharedDoc>false</SharedDoc>
  <HLinks>
    <vt:vector size="6" baseType="variant">
      <vt:variant>
        <vt:i4>7864381</vt:i4>
      </vt:variant>
      <vt:variant>
        <vt:i4>5</vt:i4>
      </vt:variant>
      <vt:variant>
        <vt:i4>0</vt:i4>
      </vt:variant>
      <vt:variant>
        <vt:i4>5</vt:i4>
      </vt:variant>
      <vt:variant>
        <vt:lpwstr>http://www.mni.gov.il/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2012-06-03T13:24:00Z</cp:lastPrinted>
  <dcterms:created xsi:type="dcterms:W3CDTF">2018-05-07T11:39:00Z</dcterms:created>
  <dcterms:modified xsi:type="dcterms:W3CDTF">2018-05-07T11:39:00Z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0x0101003CBAFB7F4A7FF54FB9D64543F2EA55D23100A4A53BCB0621864FB9BD3D22328B8665</vt:lpwstr>
  </property>
  <property fmtid="{D5CDD505-2E9C-101B-9397-08002B2CF9AE}" pid="3" name="SignerName">
    <vt:lpwstr>שחאדה שארבל</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שחאדה שארבל</vt:lpwstr>
  </property>
  <property fmtid="{D5CDD505-2E9C-101B-9397-08002B2CF9AE}" pid="7" name="SignerJobTitle">
    <vt:lpwstr>מרכז בכיר (גיאולוג)</vt:lpwstr>
  </property>
  <property fmtid="{D5CDD505-2E9C-101B-9397-08002B2CF9AE}" pid="8" name="RecipientsMailTO">
    <vt:lpwstr/>
  </property>
  <property fmtid="{D5CDD505-2E9C-101B-9397-08002B2CF9AE}" pid="9" name="RecipientsMailCC">
    <vt:lpwstr/>
  </property>
  <property fmtid="{D5CDD505-2E9C-101B-9397-08002B2CF9AE}" pid="10" name="RecipientsMailBCC">
    <vt:lpwstr/>
  </property>
  <property fmtid="{D5CDD505-2E9C-101B-9397-08002B2CF9AE}" pid="11" name="PreviousAdditionalEditors">
    <vt:lpwstr>MNIDOM\מכרות ומחצבים</vt:lpwstr>
  </property>
  <property fmtid="{D5CDD505-2E9C-101B-9397-08002B2CF9AE}" pid="12" name="PreviousAdditionalReaders">
    <vt:lpwstr/>
  </property>
  <property fmtid="{D5CDD505-2E9C-101B-9397-08002B2CF9AE}" pid="13" name="AdditionalEditors">
    <vt:lpwstr>MNIDOM\מכרות ומחצבים</vt:lpwstr>
  </property>
  <property fmtid="{D5CDD505-2E9C-101B-9397-08002B2CF9AE}" pid="14" name="DocumentCounter">
    <vt:lpwstr>מכר_164_2009</vt:lpwstr>
  </property>
  <property fmtid="{D5CDD505-2E9C-101B-9397-08002B2CF9AE}" pid="15" name="RecipientsMailSent">
    <vt:lpwstr/>
  </property>
  <property fmtid="{D5CDD505-2E9C-101B-9397-08002B2CF9AE}" pid="16" name="SignerDepartment">
    <vt:lpwstr>מינהל רישוי אוצרות טבע</vt:lpwstr>
  </property>
  <property fmtid="{D5CDD505-2E9C-101B-9397-08002B2CF9AE}" pid="17" name="RecipientsNameCC">
    <vt:lpwstr>__________</vt:lpwstr>
  </property>
  <property fmtid="{D5CDD505-2E9C-101B-9397-08002B2CF9AE}" pid="18" name="SignerEmail">
    <vt:lpwstr>ShhadeS@mni.gov.il</vt:lpwstr>
  </property>
  <property fmtid="{D5CDD505-2E9C-101B-9397-08002B2CF9AE}" pid="19" name="AdditionalReaders">
    <vt:lpwstr/>
  </property>
  <property fmtid="{D5CDD505-2E9C-101B-9397-08002B2CF9AE}" pid="20" name="SignerWorkPhone">
    <vt:lpwstr>110</vt:lpwstr>
  </property>
  <property fmtid="{D5CDD505-2E9C-101B-9397-08002B2CF9AE}" pid="21" name="SignerWorkFax">
    <vt:lpwstr>147</vt:lpwstr>
  </property>
  <property fmtid="{D5CDD505-2E9C-101B-9397-08002B2CF9AE}" pid="22" name="SetDepartmentPermission">
    <vt:lpwstr>0</vt:lpwstr>
  </property>
  <property fmtid="{D5CDD505-2E9C-101B-9397-08002B2CF9AE}" pid="23" name="DocumentCreateDateEnglish">
    <vt:lpwstr>01 באפריל 2009</vt:lpwstr>
  </property>
  <property fmtid="{D5CDD505-2E9C-101B-9397-08002B2CF9AE}" pid="24" name="DocumentCreateDateHebrew">
    <vt:lpwstr>ז' בניסן התשס"ט</vt:lpwstr>
  </property>
  <property fmtid="{D5CDD505-2E9C-101B-9397-08002B2CF9AE}" pid="25" name="SubjectDocument">
    <vt:lpwstr>תבנית חיפושי נפט אנגלית</vt:lpwstr>
  </property>
  <property fmtid="{D5CDD505-2E9C-101B-9397-08002B2CF9AE}" pid="26" name="DepartmentPermissionWasSet">
    <vt:lpwstr/>
  </property>
  <property fmtid="{D5CDD505-2E9C-101B-9397-08002B2CF9AE}" pid="27" name="PreviousPublishingStatus">
    <vt:lpwstr>Pending</vt:lpwstr>
  </property>
  <property fmtid="{D5CDD505-2E9C-101B-9397-08002B2CF9AE}" pid="28" name="FullNameBCC">
    <vt:lpwstr>.</vt:lpwstr>
  </property>
  <property fmtid="{D5CDD505-2E9C-101B-9397-08002B2CF9AE}" pid="29" name="LastLockDate">
    <vt:lpwstr/>
  </property>
  <property fmtid="{D5CDD505-2E9C-101B-9397-08002B2CF9AE}" pid="30" name="LastPublishDate">
    <vt:lpwstr/>
  </property>
  <property fmtid="{D5CDD505-2E9C-101B-9397-08002B2CF9AE}" pid="31" name="LastCheckInDate">
    <vt:lpwstr>01/04/2009 07:45;50</vt:lpwstr>
  </property>
  <property fmtid="{D5CDD505-2E9C-101B-9397-08002B2CF9AE}" pid="32" name="LastPublishUser">
    <vt:lpwstr/>
  </property>
  <property fmtid="{D5CDD505-2E9C-101B-9397-08002B2CF9AE}" pid="33" name="FullNameCC">
    <vt:lpwstr>.</vt:lpwstr>
  </property>
  <property fmtid="{D5CDD505-2E9C-101B-9397-08002B2CF9AE}" pid="34" name="LastCheckInUser">
    <vt:lpwstr>חשבון מערכת</vt:lpwstr>
  </property>
  <property fmtid="{D5CDD505-2E9C-101B-9397-08002B2CF9AE}" pid="35" name="CounterString">
    <vt:lpwstr>164</vt:lpwstr>
  </property>
  <property fmtid="{D5CDD505-2E9C-101B-9397-08002B2CF9AE}" pid="36" name="LastLockUser">
    <vt:lpwstr/>
  </property>
  <property fmtid="{D5CDD505-2E9C-101B-9397-08002B2CF9AE}" pid="37" name="LastCheckOutDate">
    <vt:lpwstr>01/04/2009 07:50;23</vt:lpwstr>
  </property>
  <property fmtid="{D5CDD505-2E9C-101B-9397-08002B2CF9AE}" pid="38" name="LastCheckOutUser">
    <vt:lpwstr>שחאדה שארבל</vt:lpwstr>
  </property>
  <property fmtid="{D5CDD505-2E9C-101B-9397-08002B2CF9AE}" pid="39" name="CurrentDocumentStatus">
    <vt:lpwstr>טיוטה</vt:lpwstr>
  </property>
  <property fmtid="{D5CDD505-2E9C-101B-9397-08002B2CF9AE}" pid="40" name="FullNameTO">
    <vt:lpwstr>.</vt:lpwstr>
  </property>
  <property fmtid="{D5CDD505-2E9C-101B-9397-08002B2CF9AE}" pid="41" name="DocumentWorkInstrument">
    <vt:lpwstr>WORD</vt:lpwstr>
  </property>
  <property fmtid="{D5CDD505-2E9C-101B-9397-08002B2CF9AE}" pid="42" name="DocumentWordTemplate">
    <vt:lpwstr>תבנית ריקה רישוי אוצרות טבע</vt:lpwstr>
  </property>
  <property fmtid="{D5CDD505-2E9C-101B-9397-08002B2CF9AE}" pid="43" name="SignerItemID">
    <vt:lpwstr>-1</vt:lpwstr>
  </property>
  <property fmtid="{D5CDD505-2E9C-101B-9397-08002B2CF9AE}" pid="44" name="DocumentLibraryName">
    <vt:lpwstr>חיפושי נפט</vt:lpwstr>
  </property>
  <property fmtid="{D5CDD505-2E9C-101B-9397-08002B2CF9AE}" pid="45" name="FileInternalName">
    <vt:lpwstr>NFT_706_2018</vt:lpwstr>
  </property>
  <property fmtid="{D5CDD505-2E9C-101B-9397-08002B2CF9AE}" pid="46" name="FullNameAll">
    <vt:lpwstr>~~</vt:lpwstr>
  </property>
</Properties>
</file>